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913B7" w14:textId="36EEF7FB" w:rsidR="009955F6" w:rsidRDefault="009955F6" w:rsidP="00180B36">
      <w:pPr>
        <w:spacing w:after="120" w:line="240" w:lineRule="auto"/>
        <w:jc w:val="center"/>
        <w:rPr>
          <w:rFonts w:asciiTheme="majorHAnsi" w:hAnsiTheme="majorHAnsi" w:cstheme="majorHAnsi"/>
          <w:b/>
          <w:bCs/>
          <w:sz w:val="48"/>
          <w:szCs w:val="48"/>
        </w:rPr>
      </w:pPr>
      <w:r w:rsidRPr="009955F6">
        <w:rPr>
          <w:rFonts w:asciiTheme="majorHAnsi" w:hAnsiTheme="majorHAnsi" w:cstheme="majorHAnsi"/>
          <w:b/>
          <w:bCs/>
          <w:sz w:val="48"/>
          <w:szCs w:val="48"/>
        </w:rPr>
        <w:t xml:space="preserve">British Early Diagnosis in </w:t>
      </w:r>
      <w:r w:rsidR="00180B36">
        <w:rPr>
          <w:rFonts w:asciiTheme="majorHAnsi" w:hAnsiTheme="majorHAnsi" w:cstheme="majorHAnsi"/>
          <w:b/>
          <w:bCs/>
          <w:sz w:val="48"/>
          <w:szCs w:val="48"/>
        </w:rPr>
        <w:t>S</w:t>
      </w:r>
      <w:r w:rsidRPr="009955F6">
        <w:rPr>
          <w:rFonts w:asciiTheme="majorHAnsi" w:hAnsiTheme="majorHAnsi" w:cstheme="majorHAnsi"/>
          <w:b/>
          <w:bCs/>
          <w:sz w:val="48"/>
          <w:szCs w:val="48"/>
        </w:rPr>
        <w:t xml:space="preserve">arcoma </w:t>
      </w:r>
      <w:r w:rsidR="00180B36">
        <w:rPr>
          <w:rFonts w:asciiTheme="majorHAnsi" w:hAnsiTheme="majorHAnsi" w:cstheme="majorHAnsi"/>
          <w:b/>
          <w:bCs/>
          <w:sz w:val="48"/>
          <w:szCs w:val="48"/>
        </w:rPr>
        <w:t>A</w:t>
      </w:r>
      <w:r w:rsidRPr="009955F6">
        <w:rPr>
          <w:rFonts w:asciiTheme="majorHAnsi" w:hAnsiTheme="majorHAnsi" w:cstheme="majorHAnsi"/>
          <w:b/>
          <w:bCs/>
          <w:sz w:val="48"/>
          <w:szCs w:val="48"/>
        </w:rPr>
        <w:t xml:space="preserve">udit </w:t>
      </w:r>
    </w:p>
    <w:p w14:paraId="5272118E" w14:textId="79167A82" w:rsidR="00081236" w:rsidRPr="009955F6" w:rsidRDefault="00081236" w:rsidP="00180B36">
      <w:pPr>
        <w:spacing w:after="120" w:line="240" w:lineRule="auto"/>
        <w:jc w:val="center"/>
        <w:rPr>
          <w:rFonts w:asciiTheme="majorHAnsi" w:hAnsiTheme="majorHAnsi" w:cstheme="majorHAnsi"/>
          <w:b/>
          <w:sz w:val="48"/>
          <w:szCs w:val="48"/>
        </w:rPr>
      </w:pPr>
      <w:r>
        <w:rPr>
          <w:rFonts w:asciiTheme="majorHAnsi" w:hAnsiTheme="majorHAnsi" w:cstheme="majorHAnsi"/>
          <w:b/>
          <w:bCs/>
          <w:sz w:val="48"/>
          <w:szCs w:val="48"/>
        </w:rPr>
        <w:t>Template for Local Audit Registration</w:t>
      </w:r>
    </w:p>
    <w:p w14:paraId="4E907C1C" w14:textId="717AFC8A" w:rsidR="00DE5BCE" w:rsidRPr="00B652DF" w:rsidRDefault="00E00CED" w:rsidP="00D647B0">
      <w:pPr>
        <w:spacing w:after="120" w:line="240" w:lineRule="auto"/>
        <w:rPr>
          <w:rFonts w:asciiTheme="majorHAnsi" w:hAnsiTheme="majorHAnsi" w:cstheme="majorHAnsi"/>
          <w:b/>
          <w:sz w:val="24"/>
          <w:szCs w:val="24"/>
          <w:u w:val="single"/>
        </w:rPr>
      </w:pPr>
      <w:r w:rsidRPr="00B652DF">
        <w:rPr>
          <w:rFonts w:asciiTheme="majorHAnsi" w:hAnsiTheme="majorHAnsi" w:cstheme="majorHAnsi"/>
          <w:b/>
          <w:sz w:val="24"/>
          <w:szCs w:val="24"/>
          <w:u w:val="single"/>
        </w:rPr>
        <w:t xml:space="preserve">Aim </w:t>
      </w:r>
    </w:p>
    <w:p w14:paraId="74660BC6" w14:textId="77777777" w:rsidR="00E63781" w:rsidRPr="00E63781" w:rsidRDefault="009955F6" w:rsidP="00E63781">
      <w:pPr>
        <w:rPr>
          <w:rFonts w:asciiTheme="majorHAnsi" w:hAnsiTheme="majorHAnsi" w:cstheme="majorHAnsi"/>
          <w:sz w:val="24"/>
          <w:szCs w:val="24"/>
        </w:rPr>
      </w:pPr>
      <w:r w:rsidRPr="00E63781">
        <w:rPr>
          <w:rFonts w:asciiTheme="majorHAnsi" w:hAnsiTheme="majorHAnsi" w:cstheme="majorHAnsi"/>
          <w:sz w:val="24"/>
          <w:szCs w:val="24"/>
        </w:rPr>
        <w:t>To understand the routes to diagnosis and the delays in presentation for UK sarcoma patients.</w:t>
      </w:r>
      <w:r w:rsidR="00E63781" w:rsidRPr="00E63781">
        <w:rPr>
          <w:rFonts w:asciiTheme="majorHAnsi" w:hAnsiTheme="majorHAnsi" w:cstheme="majorHAnsi"/>
          <w:sz w:val="24"/>
          <w:szCs w:val="24"/>
        </w:rPr>
        <w:t xml:space="preserve"> To assess compliance with BSG, NICE &amp; Scottish referral guidelines for suspected cancer in the UK for pelvic &amp; appendicular sarcomas.</w:t>
      </w:r>
    </w:p>
    <w:p w14:paraId="6414B83E" w14:textId="77777777" w:rsidR="00DE5BCE" w:rsidRPr="00B652DF" w:rsidRDefault="00E00CED" w:rsidP="00D647B0">
      <w:pPr>
        <w:spacing w:after="120" w:line="240" w:lineRule="auto"/>
        <w:rPr>
          <w:rFonts w:asciiTheme="majorHAnsi" w:hAnsiTheme="majorHAnsi" w:cstheme="majorHAnsi"/>
          <w:b/>
          <w:sz w:val="24"/>
          <w:szCs w:val="24"/>
          <w:u w:val="single"/>
        </w:rPr>
      </w:pPr>
      <w:r w:rsidRPr="00B652DF">
        <w:rPr>
          <w:rFonts w:asciiTheme="majorHAnsi" w:hAnsiTheme="majorHAnsi" w:cstheme="majorHAnsi"/>
          <w:b/>
          <w:sz w:val="24"/>
          <w:szCs w:val="24"/>
          <w:u w:val="single"/>
        </w:rPr>
        <w:t>Format</w:t>
      </w:r>
    </w:p>
    <w:p w14:paraId="65C5147F" w14:textId="28BD9788" w:rsidR="00DE5BCE" w:rsidRDefault="00CC3DE4" w:rsidP="00D647B0">
      <w:pPr>
        <w:spacing w:after="120" w:line="240" w:lineRule="auto"/>
        <w:rPr>
          <w:rFonts w:asciiTheme="majorHAnsi" w:hAnsiTheme="majorHAnsi" w:cstheme="majorHAnsi"/>
          <w:sz w:val="24"/>
          <w:szCs w:val="24"/>
        </w:rPr>
      </w:pPr>
      <w:r w:rsidRPr="00E63781">
        <w:rPr>
          <w:rFonts w:asciiTheme="majorHAnsi" w:hAnsiTheme="majorHAnsi" w:cstheme="majorHAnsi"/>
          <w:sz w:val="24"/>
          <w:szCs w:val="24"/>
        </w:rPr>
        <w:t xml:space="preserve">A prospective, multi-centre </w:t>
      </w:r>
      <w:r w:rsidR="00E00CED" w:rsidRPr="00E63781">
        <w:rPr>
          <w:rFonts w:asciiTheme="majorHAnsi" w:hAnsiTheme="majorHAnsi" w:cstheme="majorHAnsi"/>
          <w:sz w:val="24"/>
          <w:szCs w:val="24"/>
        </w:rPr>
        <w:t>audit</w:t>
      </w:r>
    </w:p>
    <w:p w14:paraId="4483283B" w14:textId="77777777" w:rsidR="00B652DF" w:rsidRDefault="00B652DF" w:rsidP="00D647B0">
      <w:pPr>
        <w:spacing w:after="120" w:line="240" w:lineRule="auto"/>
        <w:rPr>
          <w:rFonts w:asciiTheme="majorHAnsi" w:hAnsiTheme="majorHAnsi" w:cstheme="majorHAnsi"/>
          <w:sz w:val="24"/>
          <w:szCs w:val="24"/>
        </w:rPr>
      </w:pPr>
    </w:p>
    <w:p w14:paraId="54B02FCA" w14:textId="3566D196" w:rsidR="00DE5BCE" w:rsidRPr="00B652DF" w:rsidRDefault="00E00CED" w:rsidP="00D647B0">
      <w:pPr>
        <w:spacing w:after="120" w:line="240" w:lineRule="auto"/>
        <w:rPr>
          <w:rFonts w:asciiTheme="majorHAnsi" w:hAnsiTheme="majorHAnsi" w:cstheme="majorHAnsi"/>
          <w:b/>
          <w:sz w:val="24"/>
          <w:szCs w:val="24"/>
          <w:u w:val="single"/>
        </w:rPr>
      </w:pPr>
      <w:r w:rsidRPr="00B652DF">
        <w:rPr>
          <w:rFonts w:asciiTheme="majorHAnsi" w:hAnsiTheme="majorHAnsi" w:cstheme="majorHAnsi"/>
          <w:b/>
          <w:sz w:val="24"/>
          <w:szCs w:val="24"/>
          <w:u w:val="single"/>
        </w:rPr>
        <w:t>Methods</w:t>
      </w:r>
    </w:p>
    <w:p w14:paraId="0626488E" w14:textId="1157A00B" w:rsidR="00DE5BCE" w:rsidRPr="00E63781" w:rsidRDefault="003F6E27" w:rsidP="00D647B0">
      <w:pPr>
        <w:spacing w:after="120" w:line="240" w:lineRule="auto"/>
        <w:rPr>
          <w:rFonts w:asciiTheme="majorHAnsi" w:hAnsiTheme="majorHAnsi" w:cstheme="majorHAnsi"/>
          <w:sz w:val="24"/>
          <w:szCs w:val="24"/>
        </w:rPr>
      </w:pPr>
      <w:r w:rsidRPr="00E63781">
        <w:rPr>
          <w:rFonts w:asciiTheme="majorHAnsi" w:hAnsiTheme="majorHAnsi" w:cstheme="majorHAnsi"/>
          <w:sz w:val="24"/>
          <w:szCs w:val="24"/>
        </w:rPr>
        <w:t xml:space="preserve">Prospective </w:t>
      </w:r>
      <w:r w:rsidR="00E00CED" w:rsidRPr="00E63781">
        <w:rPr>
          <w:rFonts w:asciiTheme="majorHAnsi" w:hAnsiTheme="majorHAnsi" w:cstheme="majorHAnsi"/>
          <w:sz w:val="24"/>
          <w:szCs w:val="24"/>
        </w:rPr>
        <w:t xml:space="preserve">Data Collection Period: </w:t>
      </w:r>
      <w:r w:rsidR="00E776FF" w:rsidRPr="00E63781">
        <w:rPr>
          <w:rFonts w:asciiTheme="majorHAnsi" w:hAnsiTheme="majorHAnsi" w:cstheme="majorHAnsi"/>
          <w:sz w:val="24"/>
          <w:szCs w:val="24"/>
        </w:rPr>
        <w:t>Three-month</w:t>
      </w:r>
      <w:r w:rsidR="009603FD" w:rsidRPr="00E63781">
        <w:rPr>
          <w:rFonts w:asciiTheme="majorHAnsi" w:hAnsiTheme="majorHAnsi" w:cstheme="majorHAnsi"/>
          <w:sz w:val="24"/>
          <w:szCs w:val="24"/>
        </w:rPr>
        <w:t xml:space="preserve"> period (</w:t>
      </w:r>
      <w:r w:rsidR="009955F6" w:rsidRPr="00E63781">
        <w:rPr>
          <w:rFonts w:asciiTheme="majorHAnsi" w:hAnsiTheme="majorHAnsi" w:cstheme="majorHAnsi"/>
          <w:sz w:val="24"/>
          <w:szCs w:val="24"/>
        </w:rPr>
        <w:t>5/</w:t>
      </w:r>
      <w:r w:rsidR="00562951" w:rsidRPr="00E63781">
        <w:rPr>
          <w:rFonts w:asciiTheme="majorHAnsi" w:hAnsiTheme="majorHAnsi" w:cstheme="majorHAnsi"/>
          <w:sz w:val="24"/>
          <w:szCs w:val="24"/>
        </w:rPr>
        <w:t>9/</w:t>
      </w:r>
      <w:r w:rsidR="009955F6" w:rsidRPr="00E63781">
        <w:rPr>
          <w:rFonts w:asciiTheme="majorHAnsi" w:hAnsiTheme="majorHAnsi" w:cstheme="majorHAnsi"/>
          <w:sz w:val="24"/>
          <w:szCs w:val="24"/>
        </w:rPr>
        <w:t xml:space="preserve">22 to </w:t>
      </w:r>
      <w:r w:rsidR="00562951" w:rsidRPr="00E63781">
        <w:rPr>
          <w:rFonts w:asciiTheme="majorHAnsi" w:hAnsiTheme="majorHAnsi" w:cstheme="majorHAnsi"/>
          <w:sz w:val="24"/>
          <w:szCs w:val="24"/>
        </w:rPr>
        <w:t>2</w:t>
      </w:r>
      <w:r w:rsidR="00F7449D" w:rsidRPr="00E63781">
        <w:rPr>
          <w:rFonts w:asciiTheme="majorHAnsi" w:hAnsiTheme="majorHAnsi" w:cstheme="majorHAnsi"/>
          <w:sz w:val="24"/>
          <w:szCs w:val="24"/>
        </w:rPr>
        <w:t>7</w:t>
      </w:r>
      <w:r w:rsidR="00562951" w:rsidRPr="00E63781">
        <w:rPr>
          <w:rFonts w:asciiTheme="majorHAnsi" w:hAnsiTheme="majorHAnsi" w:cstheme="majorHAnsi"/>
          <w:sz w:val="24"/>
          <w:szCs w:val="24"/>
        </w:rPr>
        <w:t>/11/</w:t>
      </w:r>
      <w:r w:rsidR="009955F6" w:rsidRPr="00E63781">
        <w:rPr>
          <w:rFonts w:asciiTheme="majorHAnsi" w:hAnsiTheme="majorHAnsi" w:cstheme="majorHAnsi"/>
          <w:sz w:val="24"/>
          <w:szCs w:val="24"/>
        </w:rPr>
        <w:t xml:space="preserve">22 </w:t>
      </w:r>
      <w:r w:rsidR="00D647B0" w:rsidRPr="00E63781">
        <w:rPr>
          <w:rFonts w:asciiTheme="majorHAnsi" w:hAnsiTheme="majorHAnsi" w:cstheme="majorHAnsi"/>
          <w:sz w:val="24"/>
          <w:szCs w:val="24"/>
        </w:rPr>
        <w:t>inclusive</w:t>
      </w:r>
      <w:r w:rsidR="009603FD" w:rsidRPr="00E63781">
        <w:rPr>
          <w:rFonts w:asciiTheme="majorHAnsi" w:hAnsiTheme="majorHAnsi" w:cstheme="majorHAnsi"/>
          <w:sz w:val="24"/>
          <w:szCs w:val="24"/>
        </w:rPr>
        <w:t>)</w:t>
      </w:r>
    </w:p>
    <w:p w14:paraId="49B95BBE" w14:textId="7389E200" w:rsidR="00CC3DE4" w:rsidRPr="00E63781" w:rsidRDefault="00CC3DE4" w:rsidP="00E63781">
      <w:pPr>
        <w:pStyle w:val="ListParagraph"/>
        <w:numPr>
          <w:ilvl w:val="0"/>
          <w:numId w:val="11"/>
        </w:numPr>
        <w:spacing w:after="120" w:line="240" w:lineRule="auto"/>
        <w:rPr>
          <w:rFonts w:asciiTheme="majorHAnsi" w:hAnsiTheme="majorHAnsi" w:cstheme="majorHAnsi"/>
          <w:sz w:val="24"/>
          <w:szCs w:val="24"/>
        </w:rPr>
      </w:pPr>
      <w:r w:rsidRPr="00E63781">
        <w:rPr>
          <w:rFonts w:asciiTheme="majorHAnsi" w:hAnsiTheme="majorHAnsi" w:cstheme="majorHAnsi"/>
          <w:b/>
          <w:bCs/>
          <w:sz w:val="24"/>
          <w:szCs w:val="24"/>
        </w:rPr>
        <w:t>Inclusion</w:t>
      </w:r>
      <w:r w:rsidRPr="00E63781">
        <w:rPr>
          <w:rFonts w:asciiTheme="majorHAnsi" w:hAnsiTheme="majorHAnsi" w:cstheme="majorHAnsi"/>
          <w:sz w:val="24"/>
          <w:szCs w:val="24"/>
        </w:rPr>
        <w:t xml:space="preserve">: </w:t>
      </w:r>
      <w:r w:rsidR="00D074FC" w:rsidRPr="00E63781">
        <w:rPr>
          <w:rFonts w:asciiTheme="majorHAnsi" w:hAnsiTheme="majorHAnsi" w:cstheme="majorHAnsi"/>
          <w:sz w:val="24"/>
          <w:szCs w:val="24"/>
        </w:rPr>
        <w:t>All n</w:t>
      </w:r>
      <w:r w:rsidRPr="00E63781">
        <w:rPr>
          <w:rFonts w:asciiTheme="majorHAnsi" w:hAnsiTheme="majorHAnsi" w:cstheme="majorHAnsi"/>
          <w:sz w:val="24"/>
          <w:szCs w:val="24"/>
        </w:rPr>
        <w:t>ew presentation</w:t>
      </w:r>
      <w:r w:rsidR="00D074FC" w:rsidRPr="00E63781">
        <w:rPr>
          <w:rFonts w:asciiTheme="majorHAnsi" w:hAnsiTheme="majorHAnsi" w:cstheme="majorHAnsi"/>
          <w:sz w:val="24"/>
          <w:szCs w:val="24"/>
        </w:rPr>
        <w:t>s</w:t>
      </w:r>
      <w:r w:rsidRPr="00E63781">
        <w:rPr>
          <w:rFonts w:asciiTheme="majorHAnsi" w:hAnsiTheme="majorHAnsi" w:cstheme="majorHAnsi"/>
          <w:sz w:val="24"/>
          <w:szCs w:val="24"/>
        </w:rPr>
        <w:t xml:space="preserve"> of </w:t>
      </w:r>
      <w:r w:rsidR="009955F6" w:rsidRPr="00E63781">
        <w:rPr>
          <w:rFonts w:asciiTheme="majorHAnsi" w:hAnsiTheme="majorHAnsi" w:cstheme="majorHAnsi"/>
          <w:sz w:val="24"/>
          <w:szCs w:val="24"/>
        </w:rPr>
        <w:t xml:space="preserve">pelvic, </w:t>
      </w:r>
      <w:proofErr w:type="gramStart"/>
      <w:r w:rsidR="009955F6" w:rsidRPr="00E63781">
        <w:rPr>
          <w:rFonts w:asciiTheme="majorHAnsi" w:hAnsiTheme="majorHAnsi" w:cstheme="majorHAnsi"/>
          <w:sz w:val="24"/>
          <w:szCs w:val="24"/>
        </w:rPr>
        <w:t>spinal</w:t>
      </w:r>
      <w:proofErr w:type="gramEnd"/>
      <w:r w:rsidR="009955F6" w:rsidRPr="00E63781">
        <w:rPr>
          <w:rFonts w:asciiTheme="majorHAnsi" w:hAnsiTheme="majorHAnsi" w:cstheme="majorHAnsi"/>
          <w:sz w:val="24"/>
          <w:szCs w:val="24"/>
        </w:rPr>
        <w:t xml:space="preserve"> and appendicular bone and soft-tissue sarcoma</w:t>
      </w:r>
      <w:r w:rsidR="009603FD" w:rsidRPr="00E63781">
        <w:rPr>
          <w:rFonts w:asciiTheme="majorHAnsi" w:hAnsiTheme="majorHAnsi" w:cstheme="majorHAnsi"/>
          <w:sz w:val="24"/>
          <w:szCs w:val="24"/>
        </w:rPr>
        <w:t>.</w:t>
      </w:r>
    </w:p>
    <w:p w14:paraId="2D6E873F" w14:textId="58AE868A" w:rsidR="00862436" w:rsidRDefault="00CC3DE4" w:rsidP="00862436">
      <w:pPr>
        <w:pStyle w:val="ListParagraph"/>
        <w:numPr>
          <w:ilvl w:val="0"/>
          <w:numId w:val="11"/>
        </w:numPr>
        <w:spacing w:after="120" w:line="240" w:lineRule="auto"/>
        <w:rPr>
          <w:rFonts w:asciiTheme="majorHAnsi" w:hAnsiTheme="majorHAnsi" w:cstheme="majorHAnsi"/>
          <w:sz w:val="24"/>
          <w:szCs w:val="24"/>
        </w:rPr>
      </w:pPr>
      <w:r w:rsidRPr="00E63781">
        <w:rPr>
          <w:rFonts w:asciiTheme="majorHAnsi" w:hAnsiTheme="majorHAnsi" w:cstheme="majorHAnsi"/>
          <w:b/>
          <w:bCs/>
          <w:sz w:val="24"/>
          <w:szCs w:val="24"/>
        </w:rPr>
        <w:t>Standards</w:t>
      </w:r>
      <w:r w:rsidRPr="00E63781">
        <w:rPr>
          <w:rFonts w:asciiTheme="majorHAnsi" w:hAnsiTheme="majorHAnsi" w:cstheme="majorHAnsi"/>
          <w:sz w:val="24"/>
          <w:szCs w:val="24"/>
        </w:rPr>
        <w:t xml:space="preserve">: </w:t>
      </w:r>
    </w:p>
    <w:p w14:paraId="3A6C415D" w14:textId="77777777" w:rsidR="00066CA8" w:rsidRDefault="00066CA8" w:rsidP="00066CA8">
      <w:pPr>
        <w:pStyle w:val="ListParagraph"/>
        <w:spacing w:after="120" w:line="240" w:lineRule="auto"/>
        <w:rPr>
          <w:rFonts w:asciiTheme="majorHAnsi" w:hAnsiTheme="majorHAnsi" w:cstheme="majorHAnsi"/>
          <w:sz w:val="24"/>
          <w:szCs w:val="24"/>
        </w:rPr>
      </w:pPr>
    </w:p>
    <w:p w14:paraId="488DCF8E" w14:textId="7F2B60AC" w:rsidR="00CC3DE4" w:rsidRPr="00862436" w:rsidRDefault="009955F6" w:rsidP="00066CA8">
      <w:pPr>
        <w:pStyle w:val="ListParagraph"/>
        <w:spacing w:after="120" w:line="240" w:lineRule="auto"/>
        <w:ind w:left="360"/>
        <w:rPr>
          <w:rFonts w:asciiTheme="majorHAnsi" w:hAnsiTheme="majorHAnsi" w:cstheme="majorHAnsi"/>
          <w:sz w:val="24"/>
          <w:szCs w:val="24"/>
        </w:rPr>
      </w:pPr>
      <w:r w:rsidRPr="00862436">
        <w:rPr>
          <w:rFonts w:asciiTheme="majorHAnsi" w:hAnsiTheme="majorHAnsi" w:cstheme="majorHAnsi"/>
          <w:sz w:val="24"/>
          <w:szCs w:val="24"/>
        </w:rPr>
        <w:t>Suspected cancer: recognition and referral, NICE, 2015 (</w:t>
      </w:r>
      <w:hyperlink r:id="rId9" w:history="1">
        <w:r w:rsidRPr="00862436">
          <w:rPr>
            <w:rStyle w:val="Hyperlink"/>
            <w:rFonts w:asciiTheme="majorHAnsi" w:hAnsiTheme="majorHAnsi" w:cstheme="majorHAnsi"/>
            <w:sz w:val="24"/>
            <w:szCs w:val="24"/>
          </w:rPr>
          <w:t>https://www.nice.org.uk/guidance/ng12</w:t>
        </w:r>
      </w:hyperlink>
      <w:r w:rsidRPr="00862436">
        <w:rPr>
          <w:rFonts w:asciiTheme="majorHAnsi" w:hAnsiTheme="majorHAnsi" w:cstheme="majorHAnsi"/>
          <w:sz w:val="24"/>
          <w:szCs w:val="24"/>
        </w:rPr>
        <w:t>).</w:t>
      </w:r>
    </w:p>
    <w:p w14:paraId="0844DD10" w14:textId="0540C4BC" w:rsidR="009955F6" w:rsidRPr="00E63781" w:rsidRDefault="006578ED" w:rsidP="00066CA8">
      <w:pPr>
        <w:spacing w:after="120" w:line="240" w:lineRule="auto"/>
        <w:ind w:left="360"/>
        <w:rPr>
          <w:rFonts w:asciiTheme="majorHAnsi" w:hAnsiTheme="majorHAnsi" w:cstheme="majorHAnsi"/>
          <w:sz w:val="24"/>
          <w:szCs w:val="24"/>
        </w:rPr>
      </w:pPr>
      <w:hyperlink r:id="rId10" w:history="1">
        <w:proofErr w:type="spellStart"/>
        <w:r w:rsidR="009955F6" w:rsidRPr="00E63781">
          <w:rPr>
            <w:rStyle w:val="Hyperlink"/>
            <w:rFonts w:asciiTheme="majorHAnsi" w:hAnsiTheme="majorHAnsi" w:cstheme="majorHAnsi"/>
            <w:sz w:val="24"/>
            <w:szCs w:val="24"/>
          </w:rPr>
          <w:t>Dangoor</w:t>
        </w:r>
        <w:proofErr w:type="spellEnd"/>
        <w:r w:rsidR="009955F6" w:rsidRPr="00E63781">
          <w:rPr>
            <w:rStyle w:val="Hyperlink"/>
            <w:rFonts w:asciiTheme="majorHAnsi" w:hAnsiTheme="majorHAnsi" w:cstheme="majorHAnsi"/>
            <w:sz w:val="24"/>
            <w:szCs w:val="24"/>
          </w:rPr>
          <w:t xml:space="preserve"> A, Seddon B, </w:t>
        </w:r>
        <w:proofErr w:type="spellStart"/>
        <w:r w:rsidR="009955F6" w:rsidRPr="00E63781">
          <w:rPr>
            <w:rStyle w:val="Hyperlink"/>
            <w:rFonts w:asciiTheme="majorHAnsi" w:hAnsiTheme="majorHAnsi" w:cstheme="majorHAnsi"/>
            <w:sz w:val="24"/>
            <w:szCs w:val="24"/>
          </w:rPr>
          <w:t>Gerrand</w:t>
        </w:r>
        <w:proofErr w:type="spellEnd"/>
        <w:r w:rsidR="009955F6" w:rsidRPr="00E63781">
          <w:rPr>
            <w:rStyle w:val="Hyperlink"/>
            <w:rFonts w:asciiTheme="majorHAnsi" w:hAnsiTheme="majorHAnsi" w:cstheme="majorHAnsi"/>
            <w:sz w:val="24"/>
            <w:szCs w:val="24"/>
          </w:rPr>
          <w:t xml:space="preserve"> C, </w:t>
        </w:r>
        <w:proofErr w:type="spellStart"/>
        <w:r w:rsidR="009955F6" w:rsidRPr="00E63781">
          <w:rPr>
            <w:rStyle w:val="Hyperlink"/>
            <w:rFonts w:asciiTheme="majorHAnsi" w:hAnsiTheme="majorHAnsi" w:cstheme="majorHAnsi"/>
            <w:sz w:val="24"/>
            <w:szCs w:val="24"/>
          </w:rPr>
          <w:t>Grimer</w:t>
        </w:r>
        <w:proofErr w:type="spellEnd"/>
        <w:r w:rsidR="009955F6" w:rsidRPr="00E63781">
          <w:rPr>
            <w:rStyle w:val="Hyperlink"/>
            <w:rFonts w:asciiTheme="majorHAnsi" w:hAnsiTheme="majorHAnsi" w:cstheme="majorHAnsi"/>
            <w:sz w:val="24"/>
            <w:szCs w:val="24"/>
          </w:rPr>
          <w:t xml:space="preserve"> R, Whelan J, Judson I. UK guidelines for the management of soft tissue sarcomas. Clin Sarcoma Res. 2016 Nov </w:t>
        </w:r>
        <w:proofErr w:type="gramStart"/>
        <w:r w:rsidR="009955F6" w:rsidRPr="00E63781">
          <w:rPr>
            <w:rStyle w:val="Hyperlink"/>
            <w:rFonts w:asciiTheme="majorHAnsi" w:hAnsiTheme="majorHAnsi" w:cstheme="majorHAnsi"/>
            <w:sz w:val="24"/>
            <w:szCs w:val="24"/>
          </w:rPr>
          <w:t>15;6:20</w:t>
        </w:r>
        <w:proofErr w:type="gramEnd"/>
        <w:r w:rsidR="009955F6" w:rsidRPr="00E63781">
          <w:rPr>
            <w:rStyle w:val="Hyperlink"/>
            <w:rFonts w:asciiTheme="majorHAnsi" w:hAnsiTheme="majorHAnsi" w:cstheme="majorHAnsi"/>
            <w:sz w:val="24"/>
            <w:szCs w:val="24"/>
          </w:rPr>
          <w:t>. doi: 10.1186/s13569-016-0060-4. PMID: 27891213; PMCID: PMC5109663.</w:t>
        </w:r>
      </w:hyperlink>
    </w:p>
    <w:p w14:paraId="2F00A2AF" w14:textId="63A96640" w:rsidR="009955F6" w:rsidRPr="00E63781" w:rsidRDefault="006578ED" w:rsidP="00E63781">
      <w:pPr>
        <w:spacing w:after="120" w:line="240" w:lineRule="auto"/>
        <w:ind w:left="360"/>
        <w:rPr>
          <w:rFonts w:asciiTheme="majorHAnsi" w:hAnsiTheme="majorHAnsi" w:cstheme="majorHAnsi"/>
          <w:sz w:val="24"/>
          <w:szCs w:val="24"/>
        </w:rPr>
      </w:pPr>
      <w:hyperlink r:id="rId11" w:history="1">
        <w:proofErr w:type="spellStart"/>
        <w:r w:rsidR="009955F6" w:rsidRPr="00E63781">
          <w:rPr>
            <w:rStyle w:val="Hyperlink"/>
            <w:rFonts w:asciiTheme="majorHAnsi" w:hAnsiTheme="majorHAnsi" w:cstheme="majorHAnsi"/>
            <w:sz w:val="24"/>
            <w:szCs w:val="24"/>
          </w:rPr>
          <w:t>Gerrand</w:t>
        </w:r>
        <w:proofErr w:type="spellEnd"/>
        <w:r w:rsidR="009955F6" w:rsidRPr="00E63781">
          <w:rPr>
            <w:rStyle w:val="Hyperlink"/>
            <w:rFonts w:asciiTheme="majorHAnsi" w:hAnsiTheme="majorHAnsi" w:cstheme="majorHAnsi"/>
            <w:sz w:val="24"/>
            <w:szCs w:val="24"/>
          </w:rPr>
          <w:t xml:space="preserve"> C, </w:t>
        </w:r>
        <w:proofErr w:type="spellStart"/>
        <w:r w:rsidR="009955F6" w:rsidRPr="00E63781">
          <w:rPr>
            <w:rStyle w:val="Hyperlink"/>
            <w:rFonts w:asciiTheme="majorHAnsi" w:hAnsiTheme="majorHAnsi" w:cstheme="majorHAnsi"/>
            <w:sz w:val="24"/>
            <w:szCs w:val="24"/>
          </w:rPr>
          <w:t>Athanasou</w:t>
        </w:r>
        <w:proofErr w:type="spellEnd"/>
        <w:r w:rsidR="009955F6" w:rsidRPr="00E63781">
          <w:rPr>
            <w:rStyle w:val="Hyperlink"/>
            <w:rFonts w:asciiTheme="majorHAnsi" w:hAnsiTheme="majorHAnsi" w:cstheme="majorHAnsi"/>
            <w:sz w:val="24"/>
            <w:szCs w:val="24"/>
          </w:rPr>
          <w:t xml:space="preserve"> N, Brennan B, </w:t>
        </w:r>
        <w:proofErr w:type="spellStart"/>
        <w:r w:rsidR="009955F6" w:rsidRPr="00E63781">
          <w:rPr>
            <w:rStyle w:val="Hyperlink"/>
            <w:rFonts w:asciiTheme="majorHAnsi" w:hAnsiTheme="majorHAnsi" w:cstheme="majorHAnsi"/>
            <w:sz w:val="24"/>
            <w:szCs w:val="24"/>
          </w:rPr>
          <w:t>Grimer</w:t>
        </w:r>
        <w:proofErr w:type="spellEnd"/>
        <w:r w:rsidR="009955F6" w:rsidRPr="00E63781">
          <w:rPr>
            <w:rStyle w:val="Hyperlink"/>
            <w:rFonts w:asciiTheme="majorHAnsi" w:hAnsiTheme="majorHAnsi" w:cstheme="majorHAnsi"/>
            <w:sz w:val="24"/>
            <w:szCs w:val="24"/>
          </w:rPr>
          <w:t xml:space="preserve"> R, Judson I, Morland B, Peake D, Seddon B, Whelan J; British Sarcoma Group. UK guidelines for the management of bone sarcomas. Clin Sarcoma Res. 2016 May </w:t>
        </w:r>
        <w:proofErr w:type="gramStart"/>
        <w:r w:rsidR="009955F6" w:rsidRPr="00E63781">
          <w:rPr>
            <w:rStyle w:val="Hyperlink"/>
            <w:rFonts w:asciiTheme="majorHAnsi" w:hAnsiTheme="majorHAnsi" w:cstheme="majorHAnsi"/>
            <w:sz w:val="24"/>
            <w:szCs w:val="24"/>
          </w:rPr>
          <w:t>4;6:7</w:t>
        </w:r>
        <w:proofErr w:type="gramEnd"/>
        <w:r w:rsidR="009955F6" w:rsidRPr="00E63781">
          <w:rPr>
            <w:rStyle w:val="Hyperlink"/>
            <w:rFonts w:asciiTheme="majorHAnsi" w:hAnsiTheme="majorHAnsi" w:cstheme="majorHAnsi"/>
            <w:sz w:val="24"/>
            <w:szCs w:val="24"/>
          </w:rPr>
          <w:t>. doi: 10.1186/s13569-016-0047-1. PMID: 27148438; PMCI</w:t>
        </w:r>
      </w:hyperlink>
    </w:p>
    <w:p w14:paraId="20C802EA" w14:textId="3F11AE08" w:rsidR="009955F6" w:rsidRPr="00E63781" w:rsidRDefault="006578ED" w:rsidP="00E63781">
      <w:pPr>
        <w:spacing w:after="120" w:line="240" w:lineRule="auto"/>
        <w:ind w:left="360"/>
        <w:rPr>
          <w:rFonts w:asciiTheme="majorHAnsi" w:hAnsiTheme="majorHAnsi" w:cstheme="majorHAnsi"/>
          <w:sz w:val="24"/>
          <w:szCs w:val="24"/>
        </w:rPr>
      </w:pPr>
      <w:hyperlink r:id="rId12" w:history="1">
        <w:r w:rsidR="009955F6" w:rsidRPr="00E63781">
          <w:rPr>
            <w:rStyle w:val="Hyperlink"/>
            <w:rFonts w:asciiTheme="majorHAnsi" w:hAnsiTheme="majorHAnsi" w:cstheme="majorHAnsi"/>
            <w:sz w:val="24"/>
            <w:szCs w:val="24"/>
          </w:rPr>
          <w:t>Yeung CA. Scottish referral guidelines for suspected cancer. Br Dent J. 2019 Apr;226(7):472-473. doi: 10.1038/s41415-019-0214-x. PMID: 30979980.</w:t>
        </w:r>
      </w:hyperlink>
    </w:p>
    <w:p w14:paraId="63CEE45D" w14:textId="77777777" w:rsidR="009955F6" w:rsidRPr="00D647B0" w:rsidRDefault="009955F6" w:rsidP="00D647B0">
      <w:pPr>
        <w:spacing w:after="120" w:line="240" w:lineRule="auto"/>
        <w:rPr>
          <w:rFonts w:asciiTheme="majorHAnsi" w:hAnsiTheme="majorHAnsi" w:cstheme="majorHAnsi"/>
          <w:sz w:val="20"/>
          <w:szCs w:val="20"/>
        </w:rPr>
      </w:pPr>
    </w:p>
    <w:p w14:paraId="05BA1FD8" w14:textId="79D90973" w:rsidR="00DE5BCE" w:rsidRPr="00862436" w:rsidRDefault="00E00CED" w:rsidP="00862436">
      <w:pPr>
        <w:pStyle w:val="ListParagraph"/>
        <w:numPr>
          <w:ilvl w:val="0"/>
          <w:numId w:val="12"/>
        </w:numPr>
        <w:spacing w:after="120" w:line="240" w:lineRule="auto"/>
        <w:rPr>
          <w:rFonts w:asciiTheme="majorHAnsi" w:hAnsiTheme="majorHAnsi" w:cstheme="majorHAnsi"/>
          <w:sz w:val="24"/>
          <w:szCs w:val="24"/>
        </w:rPr>
      </w:pPr>
      <w:r w:rsidRPr="00862436">
        <w:rPr>
          <w:rFonts w:asciiTheme="majorHAnsi" w:hAnsiTheme="majorHAnsi" w:cstheme="majorHAnsi"/>
          <w:b/>
          <w:bCs/>
          <w:sz w:val="24"/>
          <w:szCs w:val="24"/>
        </w:rPr>
        <w:t xml:space="preserve">Data Collection Tool: </w:t>
      </w:r>
      <w:r w:rsidRPr="00862436">
        <w:rPr>
          <w:rFonts w:asciiTheme="majorHAnsi" w:hAnsiTheme="majorHAnsi" w:cstheme="majorHAnsi"/>
          <w:sz w:val="24"/>
          <w:szCs w:val="24"/>
        </w:rPr>
        <w:t>Standardised, locked Excel spreadsheet. Collection of no patient identifiable data</w:t>
      </w:r>
      <w:r w:rsidR="00DE6B17" w:rsidRPr="00862436">
        <w:rPr>
          <w:rFonts w:asciiTheme="majorHAnsi" w:hAnsiTheme="majorHAnsi" w:cstheme="majorHAnsi"/>
          <w:sz w:val="24"/>
          <w:szCs w:val="24"/>
        </w:rPr>
        <w:t>.</w:t>
      </w:r>
      <w:r w:rsidR="005303E7" w:rsidRPr="00862436">
        <w:rPr>
          <w:rFonts w:asciiTheme="majorHAnsi" w:hAnsiTheme="majorHAnsi" w:cstheme="majorHAnsi"/>
          <w:sz w:val="24"/>
          <w:szCs w:val="24"/>
        </w:rPr>
        <w:t xml:space="preserve">  There will be</w:t>
      </w:r>
      <w:r w:rsidR="00900948" w:rsidRPr="00862436">
        <w:rPr>
          <w:rFonts w:asciiTheme="majorHAnsi" w:hAnsiTheme="majorHAnsi" w:cstheme="majorHAnsi"/>
          <w:sz w:val="24"/>
          <w:szCs w:val="24"/>
        </w:rPr>
        <w:t xml:space="preserve"> a</w:t>
      </w:r>
      <w:r w:rsidR="005303E7" w:rsidRPr="00862436">
        <w:rPr>
          <w:rFonts w:asciiTheme="majorHAnsi" w:hAnsiTheme="majorHAnsi" w:cstheme="majorHAnsi"/>
          <w:sz w:val="24"/>
          <w:szCs w:val="24"/>
        </w:rPr>
        <w:t xml:space="preserve"> </w:t>
      </w:r>
      <w:r w:rsidR="00862436">
        <w:rPr>
          <w:rFonts w:asciiTheme="majorHAnsi" w:hAnsiTheme="majorHAnsi" w:cstheme="majorHAnsi"/>
          <w:sz w:val="24"/>
          <w:szCs w:val="24"/>
        </w:rPr>
        <w:t>code for each patient and hospital</w:t>
      </w:r>
      <w:r w:rsidR="005303E7" w:rsidRPr="00862436">
        <w:rPr>
          <w:rFonts w:asciiTheme="majorHAnsi" w:hAnsiTheme="majorHAnsi" w:cstheme="majorHAnsi"/>
          <w:sz w:val="24"/>
          <w:szCs w:val="24"/>
        </w:rPr>
        <w:t xml:space="preserve"> known only to the local hospital site.</w:t>
      </w:r>
    </w:p>
    <w:p w14:paraId="005FABB6" w14:textId="77777777" w:rsidR="00B652DF" w:rsidRDefault="008232BA" w:rsidP="00B652DF">
      <w:pPr>
        <w:pStyle w:val="ListParagraph"/>
        <w:numPr>
          <w:ilvl w:val="0"/>
          <w:numId w:val="12"/>
        </w:numPr>
        <w:spacing w:after="120" w:line="240" w:lineRule="auto"/>
        <w:rPr>
          <w:rFonts w:asciiTheme="majorHAnsi" w:hAnsiTheme="majorHAnsi" w:cstheme="majorHAnsi"/>
          <w:sz w:val="24"/>
          <w:szCs w:val="24"/>
        </w:rPr>
      </w:pPr>
      <w:r w:rsidRPr="00862436">
        <w:rPr>
          <w:rFonts w:asciiTheme="majorHAnsi" w:hAnsiTheme="majorHAnsi" w:cstheme="majorHAnsi"/>
          <w:b/>
          <w:bCs/>
          <w:sz w:val="24"/>
          <w:szCs w:val="24"/>
        </w:rPr>
        <w:t>Ethical approval:</w:t>
      </w:r>
      <w:r w:rsidRPr="00862436">
        <w:rPr>
          <w:rFonts w:asciiTheme="majorHAnsi" w:hAnsiTheme="majorHAnsi" w:cstheme="majorHAnsi"/>
          <w:sz w:val="24"/>
          <w:szCs w:val="24"/>
        </w:rPr>
        <w:t xml:space="preserve"> local site audit approval</w:t>
      </w:r>
      <w:r w:rsidR="00862436">
        <w:rPr>
          <w:rFonts w:asciiTheme="majorHAnsi" w:hAnsiTheme="majorHAnsi" w:cstheme="majorHAnsi"/>
          <w:sz w:val="24"/>
          <w:szCs w:val="24"/>
        </w:rPr>
        <w:t xml:space="preserve"> required.</w:t>
      </w:r>
    </w:p>
    <w:p w14:paraId="41854642" w14:textId="77777777" w:rsidR="00B652DF" w:rsidRDefault="00B652DF" w:rsidP="00B652DF">
      <w:pPr>
        <w:spacing w:after="120" w:line="240" w:lineRule="auto"/>
        <w:ind w:left="360"/>
        <w:rPr>
          <w:rFonts w:asciiTheme="majorHAnsi" w:hAnsiTheme="majorHAnsi" w:cstheme="majorHAnsi"/>
          <w:b/>
          <w:bCs/>
          <w:sz w:val="24"/>
          <w:szCs w:val="24"/>
        </w:rPr>
      </w:pPr>
    </w:p>
    <w:p w14:paraId="3C2A1E21" w14:textId="074141EE" w:rsidR="00CC3DE4" w:rsidRPr="00B652DF" w:rsidRDefault="00CC3DE4" w:rsidP="00B652DF">
      <w:pPr>
        <w:spacing w:after="120" w:line="240" w:lineRule="auto"/>
        <w:rPr>
          <w:rFonts w:asciiTheme="majorHAnsi" w:hAnsiTheme="majorHAnsi" w:cstheme="majorHAnsi"/>
          <w:sz w:val="24"/>
          <w:szCs w:val="24"/>
        </w:rPr>
      </w:pPr>
      <w:r w:rsidRPr="00B652DF">
        <w:rPr>
          <w:rFonts w:asciiTheme="majorHAnsi" w:hAnsiTheme="majorHAnsi" w:cstheme="majorHAnsi"/>
          <w:b/>
          <w:bCs/>
          <w:sz w:val="24"/>
          <w:szCs w:val="24"/>
          <w:u w:val="single"/>
        </w:rPr>
        <w:t>Sponsor</w:t>
      </w:r>
      <w:r w:rsidR="00562951" w:rsidRPr="00B652DF">
        <w:rPr>
          <w:rFonts w:asciiTheme="majorHAnsi" w:hAnsiTheme="majorHAnsi" w:cstheme="majorHAnsi"/>
          <w:b/>
          <w:bCs/>
          <w:sz w:val="24"/>
          <w:szCs w:val="24"/>
          <w:u w:val="single"/>
        </w:rPr>
        <w:t>s</w:t>
      </w:r>
      <w:r w:rsidRPr="00B652DF">
        <w:rPr>
          <w:rFonts w:asciiTheme="majorHAnsi" w:hAnsiTheme="majorHAnsi" w:cstheme="majorHAnsi"/>
          <w:sz w:val="24"/>
          <w:szCs w:val="24"/>
        </w:rPr>
        <w:t xml:space="preserve">: </w:t>
      </w:r>
      <w:r w:rsidR="00DD1B55" w:rsidRPr="00B652DF">
        <w:rPr>
          <w:rFonts w:asciiTheme="majorHAnsi" w:hAnsiTheme="majorHAnsi" w:cstheme="majorHAnsi"/>
          <w:sz w:val="24"/>
          <w:szCs w:val="24"/>
        </w:rPr>
        <w:t>British Orthopaedic Oncology Society</w:t>
      </w:r>
      <w:r w:rsidR="00562951" w:rsidRPr="00B652DF">
        <w:rPr>
          <w:rFonts w:asciiTheme="majorHAnsi" w:hAnsiTheme="majorHAnsi" w:cstheme="majorHAnsi"/>
          <w:sz w:val="24"/>
          <w:szCs w:val="24"/>
        </w:rPr>
        <w:t>, Sarcoma UK, Bone Cancer Research Trust</w:t>
      </w:r>
      <w:r w:rsidR="00066CA8">
        <w:rPr>
          <w:rFonts w:asciiTheme="majorHAnsi" w:hAnsiTheme="majorHAnsi" w:cstheme="majorHAnsi"/>
          <w:sz w:val="24"/>
          <w:szCs w:val="24"/>
        </w:rPr>
        <w:t>, British Sarcoma Group</w:t>
      </w:r>
    </w:p>
    <w:p w14:paraId="5064540B" w14:textId="77777777" w:rsidR="00DE5BCE" w:rsidRPr="00862436" w:rsidRDefault="00DE5BCE" w:rsidP="00D647B0">
      <w:pPr>
        <w:spacing w:after="120" w:line="240" w:lineRule="auto"/>
        <w:rPr>
          <w:rFonts w:asciiTheme="majorHAnsi" w:hAnsiTheme="majorHAnsi" w:cstheme="majorHAnsi"/>
          <w:b/>
          <w:sz w:val="24"/>
          <w:szCs w:val="24"/>
        </w:rPr>
      </w:pPr>
    </w:p>
    <w:p w14:paraId="33F91B24" w14:textId="77777777" w:rsidR="00DE5BCE" w:rsidRPr="00FA51EE" w:rsidRDefault="00E00CED" w:rsidP="00D647B0">
      <w:pPr>
        <w:spacing w:after="120" w:line="240" w:lineRule="auto"/>
        <w:rPr>
          <w:rFonts w:asciiTheme="majorHAnsi" w:hAnsiTheme="majorHAnsi" w:cstheme="majorHAnsi"/>
          <w:b/>
          <w:sz w:val="24"/>
          <w:szCs w:val="24"/>
          <w:u w:val="single"/>
        </w:rPr>
      </w:pPr>
      <w:r w:rsidRPr="00FA51EE">
        <w:rPr>
          <w:rFonts w:asciiTheme="majorHAnsi" w:hAnsiTheme="majorHAnsi" w:cstheme="majorHAnsi"/>
          <w:b/>
          <w:sz w:val="24"/>
          <w:szCs w:val="24"/>
          <w:u w:val="single"/>
        </w:rPr>
        <w:t>Local Registration</w:t>
      </w:r>
    </w:p>
    <w:p w14:paraId="0F2ACEFD" w14:textId="0E1DEA32" w:rsidR="0068367E" w:rsidRPr="00FA51EE" w:rsidRDefault="00E00CED" w:rsidP="00D647B0">
      <w:pPr>
        <w:spacing w:after="120" w:line="240" w:lineRule="auto"/>
        <w:rPr>
          <w:rFonts w:asciiTheme="majorHAnsi" w:hAnsiTheme="majorHAnsi" w:cstheme="majorHAnsi"/>
          <w:sz w:val="24"/>
          <w:szCs w:val="24"/>
        </w:rPr>
      </w:pPr>
      <w:r w:rsidRPr="00FA51EE">
        <w:rPr>
          <w:rFonts w:asciiTheme="majorHAnsi" w:hAnsiTheme="majorHAnsi" w:cstheme="majorHAnsi"/>
          <w:sz w:val="24"/>
          <w:szCs w:val="24"/>
        </w:rPr>
        <w:t xml:space="preserve">Institutions providing data will be requested to register the audit through their local procedures to </w:t>
      </w:r>
      <w:r w:rsidR="0068367E" w:rsidRPr="00FA51EE">
        <w:rPr>
          <w:rFonts w:asciiTheme="majorHAnsi" w:hAnsiTheme="majorHAnsi" w:cstheme="majorHAnsi"/>
          <w:sz w:val="24"/>
          <w:szCs w:val="24"/>
        </w:rPr>
        <w:t xml:space="preserve">adhere to clinical </w:t>
      </w:r>
      <w:r w:rsidRPr="00FA51EE">
        <w:rPr>
          <w:rFonts w:asciiTheme="majorHAnsi" w:hAnsiTheme="majorHAnsi" w:cstheme="majorHAnsi"/>
          <w:sz w:val="24"/>
          <w:szCs w:val="24"/>
        </w:rPr>
        <w:t xml:space="preserve">governance </w:t>
      </w:r>
      <w:r w:rsidR="0068367E" w:rsidRPr="00FA51EE">
        <w:rPr>
          <w:rFonts w:asciiTheme="majorHAnsi" w:hAnsiTheme="majorHAnsi" w:cstheme="majorHAnsi"/>
          <w:sz w:val="24"/>
          <w:szCs w:val="24"/>
        </w:rPr>
        <w:t>procedures</w:t>
      </w:r>
      <w:r w:rsidRPr="00FA51EE">
        <w:rPr>
          <w:rFonts w:asciiTheme="majorHAnsi" w:hAnsiTheme="majorHAnsi" w:cstheme="majorHAnsi"/>
          <w:sz w:val="24"/>
          <w:szCs w:val="24"/>
        </w:rPr>
        <w:t>. Identification of a lead clinician</w:t>
      </w:r>
      <w:r w:rsidR="00FA51EE">
        <w:rPr>
          <w:rFonts w:asciiTheme="majorHAnsi" w:hAnsiTheme="majorHAnsi" w:cstheme="majorHAnsi"/>
          <w:sz w:val="24"/>
          <w:szCs w:val="24"/>
        </w:rPr>
        <w:t xml:space="preserve"> (consultant)</w:t>
      </w:r>
      <w:r w:rsidRPr="00FA51EE">
        <w:rPr>
          <w:rFonts w:asciiTheme="majorHAnsi" w:hAnsiTheme="majorHAnsi" w:cstheme="majorHAnsi"/>
          <w:sz w:val="24"/>
          <w:szCs w:val="24"/>
        </w:rPr>
        <w:t xml:space="preserve"> at each hospital </w:t>
      </w:r>
      <w:r w:rsidR="0068367E" w:rsidRPr="00FA51EE">
        <w:rPr>
          <w:rFonts w:asciiTheme="majorHAnsi" w:hAnsiTheme="majorHAnsi" w:cstheme="majorHAnsi"/>
          <w:sz w:val="24"/>
          <w:szCs w:val="24"/>
        </w:rPr>
        <w:t xml:space="preserve">is </w:t>
      </w:r>
      <w:r w:rsidRPr="00FA51EE">
        <w:rPr>
          <w:rFonts w:asciiTheme="majorHAnsi" w:hAnsiTheme="majorHAnsi" w:cstheme="majorHAnsi"/>
          <w:sz w:val="24"/>
          <w:szCs w:val="24"/>
        </w:rPr>
        <w:t>required</w:t>
      </w:r>
      <w:r w:rsidR="00DE6B17" w:rsidRPr="00FA51EE">
        <w:rPr>
          <w:rFonts w:asciiTheme="majorHAnsi" w:hAnsiTheme="majorHAnsi" w:cstheme="majorHAnsi"/>
          <w:sz w:val="24"/>
          <w:szCs w:val="24"/>
        </w:rPr>
        <w:t>.</w:t>
      </w:r>
    </w:p>
    <w:p w14:paraId="4792E856" w14:textId="77777777" w:rsidR="00D647B0" w:rsidRPr="00FA51EE" w:rsidRDefault="00D647B0" w:rsidP="00D647B0">
      <w:pPr>
        <w:spacing w:after="120" w:line="240" w:lineRule="auto"/>
        <w:rPr>
          <w:rFonts w:asciiTheme="majorHAnsi" w:hAnsiTheme="majorHAnsi" w:cstheme="majorHAnsi"/>
          <w:b/>
          <w:sz w:val="24"/>
          <w:szCs w:val="24"/>
        </w:rPr>
      </w:pPr>
    </w:p>
    <w:p w14:paraId="59E3EB3F" w14:textId="56E0F52E" w:rsidR="00DE5BCE" w:rsidRPr="00FA51EE" w:rsidRDefault="00E00CED" w:rsidP="00D647B0">
      <w:pPr>
        <w:spacing w:after="120" w:line="240" w:lineRule="auto"/>
        <w:rPr>
          <w:rFonts w:asciiTheme="majorHAnsi" w:hAnsiTheme="majorHAnsi" w:cstheme="majorHAnsi"/>
          <w:b/>
          <w:sz w:val="24"/>
          <w:szCs w:val="24"/>
          <w:u w:val="single"/>
        </w:rPr>
      </w:pPr>
      <w:r w:rsidRPr="00FA51EE">
        <w:rPr>
          <w:rFonts w:asciiTheme="majorHAnsi" w:hAnsiTheme="majorHAnsi" w:cstheme="majorHAnsi"/>
          <w:b/>
          <w:sz w:val="24"/>
          <w:szCs w:val="24"/>
          <w:u w:val="single"/>
        </w:rPr>
        <w:t>Presentation</w:t>
      </w:r>
    </w:p>
    <w:p w14:paraId="119DAEFA" w14:textId="3B17D28E" w:rsidR="00DE6B17" w:rsidRPr="00FA51EE" w:rsidRDefault="00E00CED" w:rsidP="00D647B0">
      <w:pPr>
        <w:spacing w:after="120" w:line="240" w:lineRule="auto"/>
        <w:rPr>
          <w:rFonts w:asciiTheme="majorHAnsi" w:hAnsiTheme="majorHAnsi" w:cstheme="majorHAnsi"/>
          <w:sz w:val="24"/>
          <w:szCs w:val="24"/>
        </w:rPr>
      </w:pPr>
      <w:r w:rsidRPr="00FA51EE">
        <w:rPr>
          <w:rFonts w:asciiTheme="majorHAnsi" w:hAnsiTheme="majorHAnsi" w:cstheme="majorHAnsi"/>
          <w:sz w:val="24"/>
          <w:szCs w:val="24"/>
        </w:rPr>
        <w:t xml:space="preserve">Following </w:t>
      </w:r>
      <w:r w:rsidR="00EC46AB">
        <w:rPr>
          <w:rFonts w:asciiTheme="majorHAnsi" w:hAnsiTheme="majorHAnsi" w:cstheme="majorHAnsi"/>
          <w:sz w:val="24"/>
          <w:szCs w:val="24"/>
        </w:rPr>
        <w:t>data analysis</w:t>
      </w:r>
      <w:r w:rsidRPr="00FA51EE">
        <w:rPr>
          <w:rFonts w:asciiTheme="majorHAnsi" w:hAnsiTheme="majorHAnsi" w:cstheme="majorHAnsi"/>
          <w:sz w:val="24"/>
          <w:szCs w:val="24"/>
        </w:rPr>
        <w:t xml:space="preserve">, </w:t>
      </w:r>
      <w:r w:rsidR="0068367E" w:rsidRPr="00FA51EE">
        <w:rPr>
          <w:rFonts w:asciiTheme="majorHAnsi" w:hAnsiTheme="majorHAnsi" w:cstheme="majorHAnsi"/>
          <w:sz w:val="24"/>
          <w:szCs w:val="24"/>
        </w:rPr>
        <w:t xml:space="preserve">a formal report will be collated. We intend to distribute this report to all collaborating </w:t>
      </w:r>
      <w:r w:rsidR="00066CA8" w:rsidRPr="00FA51EE">
        <w:rPr>
          <w:rFonts w:asciiTheme="majorHAnsi" w:hAnsiTheme="majorHAnsi" w:cstheme="majorHAnsi"/>
          <w:sz w:val="24"/>
          <w:szCs w:val="24"/>
        </w:rPr>
        <w:t>centres</w:t>
      </w:r>
      <w:r w:rsidR="00066CA8">
        <w:rPr>
          <w:rFonts w:asciiTheme="majorHAnsi" w:hAnsiTheme="majorHAnsi" w:cstheme="majorHAnsi"/>
          <w:sz w:val="24"/>
          <w:szCs w:val="24"/>
        </w:rPr>
        <w:t xml:space="preserve"> and</w:t>
      </w:r>
      <w:r w:rsidR="00F45F44">
        <w:rPr>
          <w:rFonts w:asciiTheme="majorHAnsi" w:hAnsiTheme="majorHAnsi" w:cstheme="majorHAnsi"/>
          <w:sz w:val="24"/>
          <w:szCs w:val="24"/>
        </w:rPr>
        <w:t xml:space="preserve"> present the</w:t>
      </w:r>
      <w:r w:rsidR="00EC46AB">
        <w:rPr>
          <w:rFonts w:asciiTheme="majorHAnsi" w:hAnsiTheme="majorHAnsi" w:cstheme="majorHAnsi"/>
          <w:sz w:val="24"/>
          <w:szCs w:val="24"/>
        </w:rPr>
        <w:t xml:space="preserve"> results nationally. </w:t>
      </w:r>
      <w:r w:rsidR="00F45F44">
        <w:rPr>
          <w:rFonts w:asciiTheme="majorHAnsi" w:hAnsiTheme="majorHAnsi" w:cstheme="majorHAnsi"/>
          <w:sz w:val="24"/>
          <w:szCs w:val="24"/>
        </w:rPr>
        <w:t xml:space="preserve"> </w:t>
      </w:r>
      <w:r w:rsidR="00EC46AB">
        <w:rPr>
          <w:rFonts w:asciiTheme="majorHAnsi" w:hAnsiTheme="majorHAnsi" w:cstheme="majorHAnsi"/>
          <w:sz w:val="24"/>
          <w:szCs w:val="24"/>
        </w:rPr>
        <w:t xml:space="preserve"> We </w:t>
      </w:r>
      <w:r w:rsidR="0068367E" w:rsidRPr="00FA51EE">
        <w:rPr>
          <w:rFonts w:asciiTheme="majorHAnsi" w:hAnsiTheme="majorHAnsi" w:cstheme="majorHAnsi"/>
          <w:sz w:val="24"/>
          <w:szCs w:val="24"/>
        </w:rPr>
        <w:t xml:space="preserve">aspire to publish our results, as a collaborative authorship group in a high impact orthopaedic journal, thus disseminating our findings to a wider audience. </w:t>
      </w:r>
    </w:p>
    <w:p w14:paraId="69E7FBCA" w14:textId="77777777" w:rsidR="00D647B0" w:rsidRPr="00FA51EE" w:rsidRDefault="00D647B0" w:rsidP="00D647B0">
      <w:pPr>
        <w:spacing w:after="120" w:line="240" w:lineRule="auto"/>
        <w:rPr>
          <w:rFonts w:asciiTheme="majorHAnsi" w:hAnsiTheme="majorHAnsi" w:cstheme="majorHAnsi"/>
          <w:b/>
          <w:sz w:val="24"/>
          <w:szCs w:val="24"/>
        </w:rPr>
      </w:pPr>
    </w:p>
    <w:p w14:paraId="67EFE0AC" w14:textId="78537B40" w:rsidR="00DE5BCE" w:rsidRPr="00F45F44" w:rsidRDefault="00E00CED" w:rsidP="00D647B0">
      <w:pPr>
        <w:spacing w:after="120" w:line="240" w:lineRule="auto"/>
        <w:rPr>
          <w:rFonts w:asciiTheme="majorHAnsi" w:hAnsiTheme="majorHAnsi" w:cstheme="majorHAnsi"/>
          <w:b/>
          <w:sz w:val="24"/>
          <w:szCs w:val="24"/>
          <w:u w:val="single"/>
        </w:rPr>
      </w:pPr>
      <w:r w:rsidRPr="00F45F44">
        <w:rPr>
          <w:rFonts w:asciiTheme="majorHAnsi" w:hAnsiTheme="majorHAnsi" w:cstheme="majorHAnsi"/>
          <w:b/>
          <w:sz w:val="24"/>
          <w:szCs w:val="24"/>
          <w:u w:val="single"/>
        </w:rPr>
        <w:t>Recommendations</w:t>
      </w:r>
    </w:p>
    <w:p w14:paraId="1FFB3E3E" w14:textId="6DBBC733" w:rsidR="00DE6B17" w:rsidRPr="00FA51EE" w:rsidRDefault="0068367E" w:rsidP="00D647B0">
      <w:pPr>
        <w:spacing w:after="120" w:line="240" w:lineRule="auto"/>
        <w:rPr>
          <w:rFonts w:asciiTheme="majorHAnsi" w:hAnsiTheme="majorHAnsi" w:cstheme="majorHAnsi"/>
          <w:sz w:val="24"/>
          <w:szCs w:val="24"/>
        </w:rPr>
      </w:pPr>
      <w:r w:rsidRPr="00FA51EE">
        <w:rPr>
          <w:rFonts w:asciiTheme="majorHAnsi" w:hAnsiTheme="majorHAnsi" w:cstheme="majorHAnsi"/>
          <w:sz w:val="24"/>
          <w:szCs w:val="24"/>
        </w:rPr>
        <w:t xml:space="preserve">We hope the evidence gathered will </w:t>
      </w:r>
      <w:r w:rsidR="00DB4C61">
        <w:rPr>
          <w:rFonts w:asciiTheme="majorHAnsi" w:hAnsiTheme="majorHAnsi" w:cstheme="majorHAnsi"/>
          <w:sz w:val="24"/>
          <w:szCs w:val="24"/>
        </w:rPr>
        <w:t xml:space="preserve">allow us to </w:t>
      </w:r>
      <w:r w:rsidR="00DB4C61" w:rsidRPr="00E63781">
        <w:rPr>
          <w:rFonts w:asciiTheme="majorHAnsi" w:hAnsiTheme="majorHAnsi" w:cstheme="majorHAnsi"/>
          <w:sz w:val="24"/>
          <w:szCs w:val="24"/>
        </w:rPr>
        <w:t xml:space="preserve">understand the routes to diagnosis and the delays in presentation for UK sarcoma </w:t>
      </w:r>
      <w:r w:rsidR="00066CA8" w:rsidRPr="00E63781">
        <w:rPr>
          <w:rFonts w:asciiTheme="majorHAnsi" w:hAnsiTheme="majorHAnsi" w:cstheme="majorHAnsi"/>
          <w:sz w:val="24"/>
          <w:szCs w:val="24"/>
        </w:rPr>
        <w:t>patients</w:t>
      </w:r>
      <w:r w:rsidR="00066CA8">
        <w:rPr>
          <w:rFonts w:asciiTheme="majorHAnsi" w:hAnsiTheme="majorHAnsi" w:cstheme="majorHAnsi"/>
          <w:sz w:val="24"/>
          <w:szCs w:val="24"/>
        </w:rPr>
        <w:t xml:space="preserve"> and</w:t>
      </w:r>
      <w:r w:rsidR="00DB4C61">
        <w:rPr>
          <w:rFonts w:asciiTheme="majorHAnsi" w:hAnsiTheme="majorHAnsi" w:cstheme="majorHAnsi"/>
          <w:sz w:val="24"/>
          <w:szCs w:val="24"/>
        </w:rPr>
        <w:t xml:space="preserve"> improve these pathways in the hope of improving long</w:t>
      </w:r>
      <w:r w:rsidR="00066CA8">
        <w:rPr>
          <w:rFonts w:asciiTheme="majorHAnsi" w:hAnsiTheme="majorHAnsi" w:cstheme="majorHAnsi"/>
          <w:sz w:val="24"/>
          <w:szCs w:val="24"/>
        </w:rPr>
        <w:t>-</w:t>
      </w:r>
      <w:r w:rsidR="00DB4C61">
        <w:rPr>
          <w:rFonts w:asciiTheme="majorHAnsi" w:hAnsiTheme="majorHAnsi" w:cstheme="majorHAnsi"/>
          <w:sz w:val="24"/>
          <w:szCs w:val="24"/>
        </w:rPr>
        <w:t xml:space="preserve">term outcomes for </w:t>
      </w:r>
      <w:r w:rsidR="00AB54C4">
        <w:rPr>
          <w:rFonts w:asciiTheme="majorHAnsi" w:hAnsiTheme="majorHAnsi" w:cstheme="majorHAnsi"/>
          <w:sz w:val="24"/>
          <w:szCs w:val="24"/>
        </w:rPr>
        <w:t>patients throughout the UK</w:t>
      </w:r>
      <w:r w:rsidR="00DB4C61">
        <w:rPr>
          <w:rFonts w:asciiTheme="majorHAnsi" w:hAnsiTheme="majorHAnsi" w:cstheme="majorHAnsi"/>
          <w:sz w:val="24"/>
          <w:szCs w:val="24"/>
        </w:rPr>
        <w:t xml:space="preserve">. </w:t>
      </w:r>
    </w:p>
    <w:p w14:paraId="03B35857" w14:textId="77777777" w:rsidR="00D647B0" w:rsidRPr="00FA51EE" w:rsidRDefault="00D647B0" w:rsidP="00D647B0">
      <w:pPr>
        <w:spacing w:after="120" w:line="240" w:lineRule="auto"/>
        <w:rPr>
          <w:rFonts w:asciiTheme="majorHAnsi" w:hAnsiTheme="majorHAnsi" w:cstheme="majorHAnsi"/>
          <w:b/>
          <w:sz w:val="24"/>
          <w:szCs w:val="24"/>
        </w:rPr>
      </w:pPr>
    </w:p>
    <w:p w14:paraId="49338BA6" w14:textId="77777777" w:rsidR="00DE5BCE" w:rsidRPr="0043059B" w:rsidRDefault="00E00CED" w:rsidP="00D647B0">
      <w:pPr>
        <w:spacing w:after="120" w:line="240" w:lineRule="auto"/>
        <w:rPr>
          <w:rFonts w:asciiTheme="majorHAnsi" w:hAnsiTheme="majorHAnsi" w:cstheme="majorHAnsi"/>
          <w:b/>
          <w:sz w:val="24"/>
          <w:szCs w:val="24"/>
          <w:u w:val="single"/>
        </w:rPr>
      </w:pPr>
      <w:r w:rsidRPr="0043059B">
        <w:rPr>
          <w:rFonts w:asciiTheme="majorHAnsi" w:hAnsiTheme="majorHAnsi" w:cstheme="majorHAnsi"/>
          <w:b/>
          <w:sz w:val="24"/>
          <w:szCs w:val="24"/>
          <w:u w:val="single"/>
        </w:rPr>
        <w:t>Costs</w:t>
      </w:r>
    </w:p>
    <w:p w14:paraId="1743E2A0" w14:textId="33957EEE" w:rsidR="00B37890" w:rsidRPr="00FA51EE" w:rsidRDefault="00E00CED" w:rsidP="00D647B0">
      <w:pPr>
        <w:spacing w:after="120" w:line="240" w:lineRule="auto"/>
        <w:rPr>
          <w:rFonts w:asciiTheme="majorHAnsi" w:hAnsiTheme="majorHAnsi" w:cstheme="majorHAnsi"/>
          <w:sz w:val="24"/>
          <w:szCs w:val="24"/>
        </w:rPr>
      </w:pPr>
      <w:r w:rsidRPr="00FA51EE">
        <w:rPr>
          <w:rFonts w:asciiTheme="majorHAnsi" w:hAnsiTheme="majorHAnsi" w:cstheme="majorHAnsi"/>
          <w:sz w:val="24"/>
          <w:szCs w:val="24"/>
        </w:rPr>
        <w:t>No local costs should be incurred through the routine collection of audit data for national standards.</w:t>
      </w:r>
      <w:r w:rsidR="00C16DE7" w:rsidRPr="00FA51EE">
        <w:rPr>
          <w:rFonts w:asciiTheme="majorHAnsi" w:hAnsiTheme="majorHAnsi" w:cstheme="majorHAnsi"/>
          <w:sz w:val="24"/>
          <w:szCs w:val="24"/>
        </w:rPr>
        <w:t xml:space="preserve"> </w:t>
      </w:r>
    </w:p>
    <w:p w14:paraId="093348CE" w14:textId="77777777" w:rsidR="00C16DE7" w:rsidRPr="00FA51EE" w:rsidRDefault="00C16DE7" w:rsidP="00D647B0">
      <w:pPr>
        <w:spacing w:after="120" w:line="240" w:lineRule="auto"/>
        <w:rPr>
          <w:rFonts w:asciiTheme="majorHAnsi" w:hAnsiTheme="majorHAnsi" w:cstheme="majorHAnsi"/>
          <w:sz w:val="24"/>
          <w:szCs w:val="24"/>
        </w:rPr>
      </w:pPr>
    </w:p>
    <w:p w14:paraId="3F05E3DE" w14:textId="77777777" w:rsidR="00D647B0" w:rsidRPr="00FA51EE" w:rsidRDefault="00D647B0">
      <w:pPr>
        <w:rPr>
          <w:rFonts w:asciiTheme="majorHAnsi" w:eastAsia="Arial" w:hAnsiTheme="majorHAnsi" w:cstheme="majorHAnsi"/>
          <w:sz w:val="24"/>
          <w:szCs w:val="24"/>
        </w:rPr>
      </w:pPr>
      <w:r w:rsidRPr="00FA51EE">
        <w:rPr>
          <w:rFonts w:asciiTheme="majorHAnsi" w:eastAsia="Arial" w:hAnsiTheme="majorHAnsi" w:cstheme="majorHAnsi"/>
          <w:sz w:val="24"/>
          <w:szCs w:val="24"/>
        </w:rPr>
        <w:br w:type="page"/>
      </w:r>
    </w:p>
    <w:p w14:paraId="3EB81524" w14:textId="412C0DDA" w:rsidR="00D647B0" w:rsidRPr="00D647B0" w:rsidRDefault="005854CB" w:rsidP="00D647B0">
      <w:pPr>
        <w:spacing w:line="258" w:lineRule="auto"/>
        <w:jc w:val="center"/>
        <w:textDirection w:val="btLr"/>
        <w:rPr>
          <w:rFonts w:asciiTheme="majorHAnsi" w:hAnsiTheme="majorHAnsi" w:cstheme="majorHAnsi"/>
          <w:sz w:val="28"/>
          <w:szCs w:val="28"/>
          <w:u w:val="single"/>
        </w:rPr>
      </w:pPr>
      <w:r>
        <w:rPr>
          <w:rFonts w:asciiTheme="majorHAnsi" w:eastAsia="Arial" w:hAnsiTheme="majorHAnsi" w:cstheme="majorHAnsi"/>
          <w:b/>
          <w:color w:val="000000"/>
          <w:sz w:val="28"/>
          <w:szCs w:val="28"/>
          <w:u w:val="single"/>
        </w:rPr>
        <w:lastRenderedPageBreak/>
        <w:t xml:space="preserve">EXAMPLE LOCAL </w:t>
      </w:r>
      <w:r w:rsidR="00D647B0" w:rsidRPr="00D647B0">
        <w:rPr>
          <w:rFonts w:asciiTheme="majorHAnsi" w:eastAsia="Arial" w:hAnsiTheme="majorHAnsi" w:cstheme="majorHAnsi"/>
          <w:b/>
          <w:color w:val="000000"/>
          <w:sz w:val="28"/>
          <w:szCs w:val="28"/>
          <w:u w:val="single"/>
        </w:rPr>
        <w:t>CLINICAL AUDIT PROJECT PROPOSAL</w:t>
      </w:r>
    </w:p>
    <w:p w14:paraId="5DE1D4EA" w14:textId="7541A0D0" w:rsidR="00DE5BCE" w:rsidRPr="00D647B0" w:rsidRDefault="00E00CED" w:rsidP="00D647B0">
      <w:pPr>
        <w:pBdr>
          <w:top w:val="nil"/>
          <w:left w:val="nil"/>
          <w:bottom w:val="nil"/>
          <w:right w:val="nil"/>
          <w:between w:val="nil"/>
        </w:pBdr>
        <w:tabs>
          <w:tab w:val="left" w:pos="720"/>
        </w:tabs>
        <w:spacing w:after="0" w:line="240" w:lineRule="auto"/>
        <w:ind w:left="360" w:hanging="360"/>
        <w:contextualSpacing/>
        <w:rPr>
          <w:rFonts w:asciiTheme="majorHAnsi" w:eastAsia="Arial" w:hAnsiTheme="majorHAnsi" w:cstheme="majorHAnsi"/>
          <w:b/>
          <w:color w:val="000000"/>
          <w:sz w:val="20"/>
          <w:szCs w:val="20"/>
        </w:rPr>
      </w:pPr>
      <w:r w:rsidRPr="00D647B0">
        <w:rPr>
          <w:rFonts w:asciiTheme="majorHAnsi" w:eastAsia="Arial" w:hAnsiTheme="majorHAnsi" w:cstheme="majorHAnsi"/>
          <w:b/>
          <w:color w:val="000000"/>
          <w:sz w:val="20"/>
          <w:szCs w:val="20"/>
        </w:rPr>
        <w:t xml:space="preserve">Your Details: </w:t>
      </w:r>
    </w:p>
    <w:tbl>
      <w:tblPr>
        <w:tblStyle w:val="8"/>
        <w:tblW w:w="10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4"/>
        <w:gridCol w:w="4444"/>
      </w:tblGrid>
      <w:tr w:rsidR="00DE5BCE" w:rsidRPr="00D647B0" w14:paraId="23D61DFB" w14:textId="77777777" w:rsidTr="00D647B0">
        <w:trPr>
          <w:trHeight w:val="280"/>
          <w:jc w:val="center"/>
        </w:trPr>
        <w:tc>
          <w:tcPr>
            <w:tcW w:w="5624" w:type="dxa"/>
            <w:tcBorders>
              <w:top w:val="single" w:sz="4" w:space="0" w:color="000000"/>
              <w:left w:val="single" w:sz="4" w:space="0" w:color="000000"/>
              <w:bottom w:val="single" w:sz="4" w:space="0" w:color="000000"/>
              <w:right w:val="single" w:sz="4" w:space="0" w:color="000000"/>
            </w:tcBorders>
            <w:vAlign w:val="center"/>
          </w:tcPr>
          <w:p w14:paraId="3BB1FF7B" w14:textId="77777777" w:rsidR="00DE5BCE" w:rsidRPr="00D647B0" w:rsidRDefault="00E00CED" w:rsidP="00D647B0">
            <w:pPr>
              <w:pBdr>
                <w:top w:val="nil"/>
                <w:left w:val="nil"/>
                <w:bottom w:val="nil"/>
                <w:right w:val="nil"/>
                <w:between w:val="nil"/>
              </w:pBdr>
              <w:spacing w:after="0" w:line="240" w:lineRule="auto"/>
              <w:contextualSpacing/>
              <w:rPr>
                <w:rFonts w:asciiTheme="majorHAnsi" w:eastAsia="Arial" w:hAnsiTheme="majorHAnsi" w:cstheme="majorHAnsi"/>
                <w:b/>
                <w:color w:val="000000"/>
                <w:sz w:val="20"/>
                <w:szCs w:val="20"/>
              </w:rPr>
            </w:pPr>
            <w:r w:rsidRPr="00D647B0">
              <w:rPr>
                <w:rFonts w:asciiTheme="majorHAnsi" w:eastAsia="Arial" w:hAnsiTheme="majorHAnsi" w:cstheme="majorHAnsi"/>
                <w:b/>
                <w:color w:val="000000"/>
                <w:sz w:val="20"/>
                <w:szCs w:val="20"/>
              </w:rPr>
              <w:t>Name</w:t>
            </w:r>
          </w:p>
        </w:tc>
        <w:tc>
          <w:tcPr>
            <w:tcW w:w="4444" w:type="dxa"/>
            <w:tcBorders>
              <w:top w:val="single" w:sz="4" w:space="0" w:color="000000"/>
              <w:left w:val="single" w:sz="4" w:space="0" w:color="000000"/>
              <w:bottom w:val="single" w:sz="4" w:space="0" w:color="000000"/>
              <w:right w:val="single" w:sz="4" w:space="0" w:color="000000"/>
            </w:tcBorders>
            <w:vAlign w:val="center"/>
          </w:tcPr>
          <w:p w14:paraId="36A2EFCB" w14:textId="7C982EA0" w:rsidR="00DE5BCE" w:rsidRPr="00D647B0" w:rsidRDefault="00E00CED" w:rsidP="00D647B0">
            <w:pPr>
              <w:pBdr>
                <w:top w:val="nil"/>
                <w:left w:val="nil"/>
                <w:bottom w:val="nil"/>
                <w:right w:val="nil"/>
                <w:between w:val="nil"/>
              </w:pBdr>
              <w:spacing w:after="0" w:line="240" w:lineRule="auto"/>
              <w:contextualSpacing/>
              <w:rPr>
                <w:rFonts w:asciiTheme="majorHAnsi" w:eastAsia="Arial" w:hAnsiTheme="majorHAnsi" w:cstheme="majorHAnsi"/>
                <w:b/>
                <w:color w:val="000000"/>
                <w:sz w:val="20"/>
                <w:szCs w:val="20"/>
              </w:rPr>
            </w:pPr>
            <w:r w:rsidRPr="00D647B0">
              <w:rPr>
                <w:rFonts w:asciiTheme="majorHAnsi" w:eastAsia="Arial" w:hAnsiTheme="majorHAnsi" w:cstheme="majorHAnsi"/>
                <w:b/>
                <w:color w:val="000000"/>
                <w:sz w:val="20"/>
                <w:szCs w:val="20"/>
              </w:rPr>
              <w:t xml:space="preserve">Division:    </w:t>
            </w:r>
          </w:p>
        </w:tc>
      </w:tr>
      <w:tr w:rsidR="00DE5BCE" w:rsidRPr="00D647B0" w14:paraId="05A97522" w14:textId="77777777" w:rsidTr="00D647B0">
        <w:trPr>
          <w:trHeight w:val="280"/>
          <w:jc w:val="center"/>
        </w:trPr>
        <w:tc>
          <w:tcPr>
            <w:tcW w:w="5624" w:type="dxa"/>
            <w:tcBorders>
              <w:top w:val="single" w:sz="4" w:space="0" w:color="000000"/>
              <w:left w:val="single" w:sz="4" w:space="0" w:color="000000"/>
              <w:bottom w:val="single" w:sz="4" w:space="0" w:color="000000"/>
              <w:right w:val="single" w:sz="4" w:space="0" w:color="000000"/>
            </w:tcBorders>
            <w:vAlign w:val="center"/>
          </w:tcPr>
          <w:p w14:paraId="6848FADA" w14:textId="77777777" w:rsidR="00DE5BCE" w:rsidRPr="00D647B0" w:rsidRDefault="00E00CED" w:rsidP="00D647B0">
            <w:pPr>
              <w:pBdr>
                <w:top w:val="nil"/>
                <w:left w:val="nil"/>
                <w:bottom w:val="nil"/>
                <w:right w:val="nil"/>
                <w:between w:val="nil"/>
              </w:pBdr>
              <w:spacing w:after="0" w:line="240" w:lineRule="auto"/>
              <w:contextualSpacing/>
              <w:rPr>
                <w:rFonts w:asciiTheme="majorHAnsi" w:eastAsia="Arial" w:hAnsiTheme="majorHAnsi" w:cstheme="majorHAnsi"/>
                <w:b/>
                <w:color w:val="000000"/>
                <w:sz w:val="20"/>
                <w:szCs w:val="20"/>
              </w:rPr>
            </w:pPr>
            <w:r w:rsidRPr="00D647B0">
              <w:rPr>
                <w:rFonts w:asciiTheme="majorHAnsi" w:eastAsia="Arial" w:hAnsiTheme="majorHAnsi" w:cstheme="majorHAnsi"/>
                <w:b/>
                <w:color w:val="000000"/>
                <w:sz w:val="20"/>
                <w:szCs w:val="20"/>
              </w:rPr>
              <w:t xml:space="preserve">Position / Job Title:   </w:t>
            </w:r>
          </w:p>
        </w:tc>
        <w:tc>
          <w:tcPr>
            <w:tcW w:w="4444" w:type="dxa"/>
            <w:tcBorders>
              <w:top w:val="single" w:sz="4" w:space="0" w:color="000000"/>
              <w:left w:val="single" w:sz="4" w:space="0" w:color="000000"/>
              <w:bottom w:val="single" w:sz="4" w:space="0" w:color="000000"/>
              <w:right w:val="single" w:sz="4" w:space="0" w:color="000000"/>
            </w:tcBorders>
            <w:vAlign w:val="center"/>
          </w:tcPr>
          <w:p w14:paraId="52CC60C6" w14:textId="30064BD6" w:rsidR="00DE5BCE" w:rsidRPr="00D647B0" w:rsidRDefault="00E00CED" w:rsidP="00D647B0">
            <w:pPr>
              <w:pBdr>
                <w:top w:val="nil"/>
                <w:left w:val="nil"/>
                <w:bottom w:val="nil"/>
                <w:right w:val="nil"/>
                <w:between w:val="nil"/>
              </w:pBdr>
              <w:spacing w:after="0" w:line="240" w:lineRule="auto"/>
              <w:contextualSpacing/>
              <w:rPr>
                <w:rFonts w:asciiTheme="majorHAnsi" w:eastAsia="Arial" w:hAnsiTheme="majorHAnsi" w:cstheme="majorHAnsi"/>
                <w:b/>
                <w:color w:val="000000"/>
                <w:sz w:val="20"/>
                <w:szCs w:val="20"/>
              </w:rPr>
            </w:pPr>
            <w:r w:rsidRPr="00D647B0">
              <w:rPr>
                <w:rFonts w:asciiTheme="majorHAnsi" w:eastAsia="Arial" w:hAnsiTheme="majorHAnsi" w:cstheme="majorHAnsi"/>
                <w:b/>
                <w:color w:val="000000"/>
                <w:sz w:val="20"/>
                <w:szCs w:val="20"/>
              </w:rPr>
              <w:t xml:space="preserve">Specialty: </w:t>
            </w:r>
          </w:p>
        </w:tc>
      </w:tr>
      <w:tr w:rsidR="00DE5BCE" w:rsidRPr="00D647B0" w14:paraId="0B795A05" w14:textId="77777777" w:rsidTr="00D647B0">
        <w:trPr>
          <w:trHeight w:val="280"/>
          <w:jc w:val="center"/>
        </w:trPr>
        <w:tc>
          <w:tcPr>
            <w:tcW w:w="5624" w:type="dxa"/>
            <w:tcBorders>
              <w:top w:val="single" w:sz="4" w:space="0" w:color="000000"/>
              <w:left w:val="single" w:sz="4" w:space="0" w:color="000000"/>
              <w:bottom w:val="single" w:sz="4" w:space="0" w:color="000000"/>
              <w:right w:val="single" w:sz="4" w:space="0" w:color="000000"/>
            </w:tcBorders>
            <w:vAlign w:val="center"/>
          </w:tcPr>
          <w:p w14:paraId="50FF4DBA" w14:textId="77777777" w:rsidR="00DE5BCE" w:rsidRPr="00D647B0" w:rsidRDefault="00E00CED" w:rsidP="00D647B0">
            <w:pPr>
              <w:spacing w:after="0" w:line="240" w:lineRule="auto"/>
              <w:contextualSpacing/>
              <w:rPr>
                <w:rFonts w:asciiTheme="majorHAnsi" w:eastAsia="Arial" w:hAnsiTheme="majorHAnsi" w:cstheme="majorHAnsi"/>
                <w:b/>
                <w:sz w:val="20"/>
                <w:szCs w:val="20"/>
              </w:rPr>
            </w:pPr>
            <w:r w:rsidRPr="00D647B0">
              <w:rPr>
                <w:rFonts w:asciiTheme="majorHAnsi" w:eastAsia="Arial" w:hAnsiTheme="majorHAnsi" w:cstheme="majorHAnsi"/>
                <w:b/>
                <w:sz w:val="20"/>
                <w:szCs w:val="20"/>
              </w:rPr>
              <w:t>Email:</w:t>
            </w:r>
          </w:p>
        </w:tc>
        <w:tc>
          <w:tcPr>
            <w:tcW w:w="4444" w:type="dxa"/>
            <w:tcBorders>
              <w:top w:val="single" w:sz="4" w:space="0" w:color="000000"/>
              <w:left w:val="single" w:sz="4" w:space="0" w:color="000000"/>
              <w:bottom w:val="single" w:sz="4" w:space="0" w:color="000000"/>
              <w:right w:val="single" w:sz="4" w:space="0" w:color="000000"/>
            </w:tcBorders>
            <w:vAlign w:val="center"/>
          </w:tcPr>
          <w:p w14:paraId="6D55B122" w14:textId="5495F6D2" w:rsidR="00DE5BCE" w:rsidRPr="00D647B0" w:rsidRDefault="00E00CED" w:rsidP="00D647B0">
            <w:pPr>
              <w:tabs>
                <w:tab w:val="left" w:pos="2052"/>
              </w:tabs>
              <w:spacing w:after="0" w:line="240" w:lineRule="auto"/>
              <w:contextualSpacing/>
              <w:rPr>
                <w:rFonts w:asciiTheme="majorHAnsi" w:eastAsia="Arial" w:hAnsiTheme="majorHAnsi" w:cstheme="majorHAnsi"/>
                <w:b/>
                <w:sz w:val="20"/>
                <w:szCs w:val="20"/>
              </w:rPr>
            </w:pPr>
            <w:r w:rsidRPr="00D647B0">
              <w:rPr>
                <w:rFonts w:asciiTheme="majorHAnsi" w:eastAsia="Arial" w:hAnsiTheme="majorHAnsi" w:cstheme="majorHAnsi"/>
                <w:b/>
                <w:sz w:val="20"/>
                <w:szCs w:val="20"/>
              </w:rPr>
              <w:t xml:space="preserve">Tel:   </w:t>
            </w:r>
          </w:p>
        </w:tc>
      </w:tr>
    </w:tbl>
    <w:p w14:paraId="497F1E40" w14:textId="77777777" w:rsidR="00DE5BCE" w:rsidRPr="00D647B0" w:rsidRDefault="00DE5BCE" w:rsidP="00D647B0">
      <w:pPr>
        <w:pBdr>
          <w:top w:val="nil"/>
          <w:left w:val="nil"/>
          <w:bottom w:val="nil"/>
          <w:right w:val="nil"/>
          <w:between w:val="nil"/>
        </w:pBdr>
        <w:tabs>
          <w:tab w:val="left" w:pos="9630"/>
        </w:tabs>
        <w:spacing w:after="0" w:line="240" w:lineRule="auto"/>
        <w:contextualSpacing/>
        <w:rPr>
          <w:rFonts w:asciiTheme="majorHAnsi" w:eastAsia="Arial" w:hAnsiTheme="majorHAnsi" w:cstheme="majorHAnsi"/>
          <w:color w:val="000000"/>
          <w:sz w:val="20"/>
          <w:szCs w:val="20"/>
        </w:rPr>
      </w:pPr>
    </w:p>
    <w:tbl>
      <w:tblPr>
        <w:tblStyle w:val="7"/>
        <w:tblW w:w="10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8"/>
      </w:tblGrid>
      <w:tr w:rsidR="00DE5BCE" w:rsidRPr="00D647B0" w14:paraId="354B520A" w14:textId="77777777" w:rsidTr="00D647B0">
        <w:trPr>
          <w:trHeight w:val="323"/>
          <w:jc w:val="center"/>
        </w:trPr>
        <w:tc>
          <w:tcPr>
            <w:tcW w:w="10068" w:type="dxa"/>
            <w:tcBorders>
              <w:top w:val="single" w:sz="4" w:space="0" w:color="000000"/>
              <w:left w:val="single" w:sz="4" w:space="0" w:color="000000"/>
              <w:bottom w:val="single" w:sz="4" w:space="0" w:color="000000"/>
              <w:right w:val="single" w:sz="4" w:space="0" w:color="000000"/>
            </w:tcBorders>
            <w:vAlign w:val="center"/>
          </w:tcPr>
          <w:p w14:paraId="2CB84C13" w14:textId="591C004B" w:rsidR="00DE5BCE" w:rsidRPr="00D647B0" w:rsidRDefault="00D647B0" w:rsidP="00D647B0">
            <w:pPr>
              <w:spacing w:after="0" w:line="240" w:lineRule="auto"/>
              <w:contextualSpacing/>
              <w:rPr>
                <w:rFonts w:asciiTheme="majorHAnsi" w:eastAsia="Arial" w:hAnsiTheme="majorHAnsi" w:cstheme="majorHAnsi"/>
                <w:sz w:val="20"/>
                <w:szCs w:val="20"/>
              </w:rPr>
            </w:pPr>
            <w:r w:rsidRPr="00D647B0">
              <w:rPr>
                <w:rFonts w:asciiTheme="majorHAnsi" w:eastAsia="Arial" w:hAnsiTheme="majorHAnsi" w:cstheme="majorHAnsi"/>
                <w:b/>
                <w:sz w:val="20"/>
                <w:szCs w:val="20"/>
              </w:rPr>
              <w:t xml:space="preserve">Project </w:t>
            </w:r>
            <w:r w:rsidR="00E00CED" w:rsidRPr="00D647B0">
              <w:rPr>
                <w:rFonts w:asciiTheme="majorHAnsi" w:eastAsia="Arial" w:hAnsiTheme="majorHAnsi" w:cstheme="majorHAnsi"/>
                <w:b/>
                <w:sz w:val="20"/>
                <w:szCs w:val="20"/>
              </w:rPr>
              <w:t>Title:</w:t>
            </w:r>
            <w:r w:rsidR="00E00CED" w:rsidRPr="00D647B0">
              <w:rPr>
                <w:rFonts w:asciiTheme="majorHAnsi" w:eastAsia="Arial" w:hAnsiTheme="majorHAnsi" w:cstheme="majorHAnsi"/>
                <w:sz w:val="20"/>
                <w:szCs w:val="20"/>
              </w:rPr>
              <w:t xml:space="preserve">  </w:t>
            </w:r>
            <w:r w:rsidRPr="00D647B0">
              <w:rPr>
                <w:rFonts w:asciiTheme="majorHAnsi" w:eastAsia="Arial" w:hAnsiTheme="majorHAnsi" w:cstheme="majorHAnsi"/>
                <w:sz w:val="20"/>
                <w:szCs w:val="20"/>
              </w:rPr>
              <w:t xml:space="preserve">       </w:t>
            </w:r>
            <w:r w:rsidR="00064AE5" w:rsidRPr="00064AE5">
              <w:rPr>
                <w:rFonts w:asciiTheme="majorHAnsi" w:eastAsia="Arial" w:hAnsiTheme="majorHAnsi" w:cstheme="majorHAnsi"/>
                <w:sz w:val="20"/>
                <w:szCs w:val="20"/>
              </w:rPr>
              <w:t xml:space="preserve">British Early Diagnosis in Sarcoma Audit </w:t>
            </w:r>
            <w:r w:rsidRPr="00D647B0">
              <w:rPr>
                <w:rFonts w:asciiTheme="majorHAnsi" w:eastAsia="Arial" w:hAnsiTheme="majorHAnsi" w:cstheme="majorHAnsi"/>
                <w:sz w:val="20"/>
                <w:szCs w:val="20"/>
              </w:rPr>
              <w:t xml:space="preserve">   </w:t>
            </w:r>
          </w:p>
        </w:tc>
      </w:tr>
    </w:tbl>
    <w:p w14:paraId="25971B02" w14:textId="77777777" w:rsidR="00DE5BCE" w:rsidRPr="00D647B0" w:rsidRDefault="00DE5BCE" w:rsidP="00D647B0">
      <w:pPr>
        <w:pBdr>
          <w:top w:val="nil"/>
          <w:left w:val="nil"/>
          <w:bottom w:val="nil"/>
          <w:right w:val="nil"/>
          <w:between w:val="nil"/>
        </w:pBdr>
        <w:tabs>
          <w:tab w:val="left" w:pos="9630"/>
        </w:tabs>
        <w:spacing w:after="0" w:line="240" w:lineRule="auto"/>
        <w:contextualSpacing/>
        <w:rPr>
          <w:rFonts w:asciiTheme="majorHAnsi" w:eastAsia="Arial" w:hAnsiTheme="majorHAnsi" w:cstheme="majorHAnsi"/>
          <w:color w:val="000000"/>
          <w:sz w:val="20"/>
          <w:szCs w:val="20"/>
        </w:rPr>
      </w:pPr>
    </w:p>
    <w:p w14:paraId="30F3D93E" w14:textId="6044F60C" w:rsidR="00DE5BCE" w:rsidRPr="00D647B0" w:rsidRDefault="00E00CED" w:rsidP="00D647B0">
      <w:pPr>
        <w:spacing w:after="0" w:line="240" w:lineRule="auto"/>
        <w:contextualSpacing/>
        <w:rPr>
          <w:rFonts w:asciiTheme="majorHAnsi" w:eastAsia="Arial" w:hAnsiTheme="majorHAnsi" w:cstheme="majorHAnsi"/>
          <w:sz w:val="20"/>
          <w:szCs w:val="20"/>
        </w:rPr>
      </w:pPr>
      <w:r w:rsidRPr="00D647B0">
        <w:rPr>
          <w:rFonts w:asciiTheme="majorHAnsi" w:eastAsia="Arial" w:hAnsiTheme="majorHAnsi" w:cstheme="majorHAnsi"/>
          <w:b/>
          <w:sz w:val="20"/>
          <w:szCs w:val="20"/>
        </w:rPr>
        <w:t>Project Team</w:t>
      </w:r>
      <w:r w:rsidR="00D647B0">
        <w:rPr>
          <w:rFonts w:asciiTheme="majorHAnsi" w:eastAsia="Arial" w:hAnsiTheme="majorHAnsi" w:cstheme="majorHAnsi"/>
          <w:b/>
          <w:sz w:val="20"/>
          <w:szCs w:val="20"/>
        </w:rPr>
        <w:t xml:space="preserve"> </w:t>
      </w:r>
      <w:r w:rsidRPr="00D647B0">
        <w:rPr>
          <w:rFonts w:asciiTheme="majorHAnsi" w:eastAsia="Arial" w:hAnsiTheme="majorHAnsi" w:cstheme="majorHAnsi"/>
          <w:b/>
          <w:sz w:val="20"/>
          <w:szCs w:val="20"/>
        </w:rPr>
        <w:t xml:space="preserve">: </w:t>
      </w:r>
      <w:r w:rsidR="005011DA">
        <w:rPr>
          <w:rFonts w:asciiTheme="majorHAnsi" w:eastAsia="Arial" w:hAnsiTheme="majorHAnsi" w:cstheme="majorHAnsi"/>
          <w:b/>
          <w:sz w:val="20"/>
          <w:szCs w:val="20"/>
        </w:rPr>
        <w:t>insert rows as required</w:t>
      </w:r>
    </w:p>
    <w:tbl>
      <w:tblPr>
        <w:tblStyle w:val="6"/>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2790"/>
        <w:gridCol w:w="1890"/>
        <w:gridCol w:w="2850"/>
      </w:tblGrid>
      <w:tr w:rsidR="00DE5BCE" w:rsidRPr="00D647B0" w14:paraId="2A1BFD9C" w14:textId="77777777" w:rsidTr="00D647B0">
        <w:trPr>
          <w:trHeight w:val="180"/>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5E1FE3C" w14:textId="77777777" w:rsidR="00DE5BCE" w:rsidRPr="00D647B0" w:rsidRDefault="00E00CED" w:rsidP="00D647B0">
            <w:pPr>
              <w:tabs>
                <w:tab w:val="left" w:pos="1800"/>
              </w:tabs>
              <w:spacing w:after="0" w:line="240" w:lineRule="auto"/>
              <w:contextualSpacing/>
              <w:rPr>
                <w:rFonts w:asciiTheme="majorHAnsi" w:eastAsia="Arial" w:hAnsiTheme="majorHAnsi" w:cstheme="majorHAnsi"/>
                <w:b/>
                <w:sz w:val="20"/>
                <w:szCs w:val="20"/>
              </w:rPr>
            </w:pPr>
            <w:r w:rsidRPr="00D647B0">
              <w:rPr>
                <w:rFonts w:asciiTheme="majorHAnsi" w:eastAsia="Arial" w:hAnsiTheme="majorHAnsi" w:cstheme="majorHAnsi"/>
                <w:b/>
                <w:sz w:val="20"/>
                <w:szCs w:val="20"/>
              </w:rPr>
              <w:t>Name</w:t>
            </w:r>
          </w:p>
        </w:tc>
        <w:tc>
          <w:tcPr>
            <w:tcW w:w="279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9E30E0E" w14:textId="77777777" w:rsidR="00DE5BCE" w:rsidRPr="00D647B0" w:rsidRDefault="00E00CED" w:rsidP="00D647B0">
            <w:pPr>
              <w:tabs>
                <w:tab w:val="left" w:pos="1800"/>
              </w:tabs>
              <w:spacing w:after="0" w:line="240" w:lineRule="auto"/>
              <w:contextualSpacing/>
              <w:rPr>
                <w:rFonts w:asciiTheme="majorHAnsi" w:eastAsia="Arial" w:hAnsiTheme="majorHAnsi" w:cstheme="majorHAnsi"/>
                <w:b/>
                <w:sz w:val="20"/>
                <w:szCs w:val="20"/>
              </w:rPr>
            </w:pPr>
            <w:r w:rsidRPr="00D647B0">
              <w:rPr>
                <w:rFonts w:asciiTheme="majorHAnsi" w:eastAsia="Arial" w:hAnsiTheme="majorHAnsi" w:cstheme="majorHAnsi"/>
                <w:b/>
                <w:sz w:val="20"/>
                <w:szCs w:val="20"/>
              </w:rPr>
              <w:t>Job Title</w:t>
            </w:r>
          </w:p>
        </w:tc>
        <w:tc>
          <w:tcPr>
            <w:tcW w:w="189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69EE2CA" w14:textId="77777777" w:rsidR="00DE5BCE" w:rsidRPr="00D647B0" w:rsidRDefault="00E00CED" w:rsidP="00D647B0">
            <w:pPr>
              <w:tabs>
                <w:tab w:val="left" w:pos="1800"/>
              </w:tabs>
              <w:spacing w:after="0" w:line="240" w:lineRule="auto"/>
              <w:contextualSpacing/>
              <w:rPr>
                <w:rFonts w:asciiTheme="majorHAnsi" w:eastAsia="Arial" w:hAnsiTheme="majorHAnsi" w:cstheme="majorHAnsi"/>
                <w:b/>
                <w:sz w:val="20"/>
                <w:szCs w:val="20"/>
              </w:rPr>
            </w:pPr>
            <w:r w:rsidRPr="00D647B0">
              <w:rPr>
                <w:rFonts w:asciiTheme="majorHAnsi" w:eastAsia="Arial" w:hAnsiTheme="majorHAnsi" w:cstheme="majorHAnsi"/>
                <w:b/>
                <w:sz w:val="20"/>
                <w:szCs w:val="20"/>
              </w:rPr>
              <w:t>Specialty</w:t>
            </w:r>
          </w:p>
        </w:tc>
        <w:tc>
          <w:tcPr>
            <w:tcW w:w="285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86F1F9A" w14:textId="5D5C5BE3" w:rsidR="00DE5BCE" w:rsidRPr="00D647B0" w:rsidRDefault="00E00CED" w:rsidP="00D647B0">
            <w:pPr>
              <w:tabs>
                <w:tab w:val="left" w:pos="1800"/>
              </w:tabs>
              <w:spacing w:after="0" w:line="240" w:lineRule="auto"/>
              <w:contextualSpacing/>
              <w:rPr>
                <w:rFonts w:asciiTheme="majorHAnsi" w:eastAsia="Arial" w:hAnsiTheme="majorHAnsi" w:cstheme="majorHAnsi"/>
                <w:b/>
                <w:sz w:val="20"/>
                <w:szCs w:val="20"/>
              </w:rPr>
            </w:pPr>
            <w:r w:rsidRPr="00D647B0">
              <w:rPr>
                <w:rFonts w:asciiTheme="majorHAnsi" w:eastAsia="Arial" w:hAnsiTheme="majorHAnsi" w:cstheme="majorHAnsi"/>
                <w:b/>
                <w:sz w:val="20"/>
                <w:szCs w:val="20"/>
              </w:rPr>
              <w:t>Role within Project (</w:t>
            </w:r>
            <w:r w:rsidR="00D647B0">
              <w:rPr>
                <w:rFonts w:asciiTheme="majorHAnsi" w:eastAsia="Arial" w:hAnsiTheme="majorHAnsi" w:cstheme="majorHAnsi"/>
                <w:b/>
                <w:sz w:val="20"/>
                <w:szCs w:val="20"/>
              </w:rPr>
              <w:t xml:space="preserve">lead, </w:t>
            </w:r>
            <w:r w:rsidRPr="00D647B0">
              <w:rPr>
                <w:rFonts w:asciiTheme="majorHAnsi" w:eastAsia="Arial" w:hAnsiTheme="majorHAnsi" w:cstheme="majorHAnsi"/>
                <w:b/>
                <w:sz w:val="20"/>
                <w:szCs w:val="20"/>
              </w:rPr>
              <w:t>data collection, etc)</w:t>
            </w:r>
          </w:p>
        </w:tc>
      </w:tr>
      <w:tr w:rsidR="00DE5BCE" w:rsidRPr="00D647B0" w14:paraId="161239FE" w14:textId="77777777" w:rsidTr="00D647B0">
        <w:trPr>
          <w:trHeight w:val="380"/>
          <w:jc w:val="center"/>
        </w:trPr>
        <w:tc>
          <w:tcPr>
            <w:tcW w:w="2550" w:type="dxa"/>
            <w:tcBorders>
              <w:top w:val="single" w:sz="4" w:space="0" w:color="000000"/>
              <w:left w:val="single" w:sz="4" w:space="0" w:color="000000"/>
              <w:bottom w:val="single" w:sz="4" w:space="0" w:color="000000"/>
              <w:right w:val="single" w:sz="4" w:space="0" w:color="000000"/>
            </w:tcBorders>
            <w:vAlign w:val="center"/>
          </w:tcPr>
          <w:p w14:paraId="0EDD1906" w14:textId="5A1633D9" w:rsidR="00DE5BCE" w:rsidRPr="00D647B0" w:rsidRDefault="00DE5BCE" w:rsidP="00D647B0">
            <w:pPr>
              <w:tabs>
                <w:tab w:val="left" w:pos="1800"/>
              </w:tabs>
              <w:spacing w:after="0" w:line="240" w:lineRule="auto"/>
              <w:contextualSpacing/>
              <w:rPr>
                <w:rFonts w:asciiTheme="majorHAnsi" w:eastAsia="Arial" w:hAnsiTheme="majorHAnsi" w:cstheme="majorHAnsi"/>
                <w:sz w:val="20"/>
                <w:szCs w:val="20"/>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5315BC5E" w14:textId="05D087CE" w:rsidR="00DE5BCE" w:rsidRPr="00D647B0" w:rsidRDefault="00DE5BCE" w:rsidP="00D647B0">
            <w:pPr>
              <w:tabs>
                <w:tab w:val="left" w:pos="1800"/>
              </w:tabs>
              <w:spacing w:after="0" w:line="240" w:lineRule="auto"/>
              <w:contextualSpacing/>
              <w:rPr>
                <w:rFonts w:asciiTheme="majorHAnsi" w:eastAsia="Arial" w:hAnsiTheme="majorHAnsi" w:cstheme="majorHAnsi"/>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03E83D0A" w14:textId="2BF6A435" w:rsidR="00DE5BCE" w:rsidRPr="00D647B0" w:rsidRDefault="00DE5BCE" w:rsidP="00D647B0">
            <w:pPr>
              <w:tabs>
                <w:tab w:val="left" w:pos="1800"/>
              </w:tabs>
              <w:spacing w:after="0" w:line="240" w:lineRule="auto"/>
              <w:contextualSpacing/>
              <w:rPr>
                <w:rFonts w:asciiTheme="majorHAnsi" w:eastAsia="Arial" w:hAnsiTheme="majorHAnsi" w:cstheme="majorHAnsi"/>
                <w:sz w:val="20"/>
                <w:szCs w:val="20"/>
              </w:rPr>
            </w:pPr>
          </w:p>
        </w:tc>
        <w:tc>
          <w:tcPr>
            <w:tcW w:w="2850" w:type="dxa"/>
            <w:tcBorders>
              <w:top w:val="single" w:sz="4" w:space="0" w:color="000000"/>
              <w:left w:val="single" w:sz="4" w:space="0" w:color="000000"/>
              <w:bottom w:val="single" w:sz="4" w:space="0" w:color="000000"/>
              <w:right w:val="single" w:sz="4" w:space="0" w:color="000000"/>
            </w:tcBorders>
            <w:vAlign w:val="center"/>
          </w:tcPr>
          <w:p w14:paraId="7F7A68C5" w14:textId="77777777" w:rsidR="00DE5BCE" w:rsidRPr="00D647B0" w:rsidRDefault="00E00CED" w:rsidP="00D647B0">
            <w:pPr>
              <w:tabs>
                <w:tab w:val="left" w:pos="1800"/>
              </w:tabs>
              <w:spacing w:after="0" w:line="240" w:lineRule="auto"/>
              <w:contextualSpacing/>
              <w:rPr>
                <w:rFonts w:asciiTheme="majorHAnsi" w:eastAsia="Arial" w:hAnsiTheme="majorHAnsi" w:cstheme="majorHAnsi"/>
                <w:sz w:val="20"/>
                <w:szCs w:val="20"/>
              </w:rPr>
            </w:pPr>
            <w:r w:rsidRPr="00D647B0">
              <w:rPr>
                <w:rFonts w:asciiTheme="majorHAnsi" w:eastAsia="Arial" w:hAnsiTheme="majorHAnsi" w:cstheme="majorHAnsi"/>
                <w:sz w:val="20"/>
                <w:szCs w:val="20"/>
              </w:rPr>
              <w:t xml:space="preserve">Project lead </w:t>
            </w:r>
          </w:p>
        </w:tc>
      </w:tr>
      <w:tr w:rsidR="00D647B0" w:rsidRPr="00D647B0" w14:paraId="48A324AD" w14:textId="77777777" w:rsidTr="00D647B0">
        <w:trPr>
          <w:trHeight w:val="380"/>
          <w:jc w:val="center"/>
        </w:trPr>
        <w:tc>
          <w:tcPr>
            <w:tcW w:w="2550" w:type="dxa"/>
            <w:tcBorders>
              <w:top w:val="single" w:sz="4" w:space="0" w:color="000000"/>
              <w:left w:val="single" w:sz="4" w:space="0" w:color="000000"/>
              <w:bottom w:val="single" w:sz="4" w:space="0" w:color="000000"/>
              <w:right w:val="single" w:sz="4" w:space="0" w:color="000000"/>
            </w:tcBorders>
            <w:vAlign w:val="center"/>
          </w:tcPr>
          <w:p w14:paraId="74306F1A" w14:textId="77777777" w:rsidR="00D647B0" w:rsidRPr="00D647B0" w:rsidRDefault="00D647B0" w:rsidP="00D647B0">
            <w:pPr>
              <w:tabs>
                <w:tab w:val="left" w:pos="1800"/>
              </w:tabs>
              <w:spacing w:after="0" w:line="240" w:lineRule="auto"/>
              <w:contextualSpacing/>
              <w:rPr>
                <w:rFonts w:asciiTheme="majorHAnsi" w:eastAsia="Arial" w:hAnsiTheme="majorHAnsi" w:cstheme="majorHAnsi"/>
                <w:sz w:val="20"/>
                <w:szCs w:val="20"/>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01232FF6" w14:textId="77777777" w:rsidR="00D647B0" w:rsidRPr="00D647B0" w:rsidRDefault="00D647B0" w:rsidP="00D647B0">
            <w:pPr>
              <w:tabs>
                <w:tab w:val="left" w:pos="1800"/>
              </w:tabs>
              <w:spacing w:after="0" w:line="240" w:lineRule="auto"/>
              <w:contextualSpacing/>
              <w:rPr>
                <w:rFonts w:asciiTheme="majorHAnsi" w:eastAsia="Arial" w:hAnsiTheme="majorHAnsi" w:cstheme="majorHAnsi"/>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3DF3990E" w14:textId="77777777" w:rsidR="00D647B0" w:rsidRPr="00D647B0" w:rsidRDefault="00D647B0" w:rsidP="00D647B0">
            <w:pPr>
              <w:tabs>
                <w:tab w:val="left" w:pos="1800"/>
              </w:tabs>
              <w:spacing w:after="0" w:line="240" w:lineRule="auto"/>
              <w:contextualSpacing/>
              <w:rPr>
                <w:rFonts w:asciiTheme="majorHAnsi" w:eastAsia="Arial" w:hAnsiTheme="majorHAnsi" w:cstheme="majorHAnsi"/>
                <w:sz w:val="20"/>
                <w:szCs w:val="20"/>
              </w:rPr>
            </w:pPr>
          </w:p>
        </w:tc>
        <w:tc>
          <w:tcPr>
            <w:tcW w:w="2850" w:type="dxa"/>
            <w:tcBorders>
              <w:top w:val="single" w:sz="4" w:space="0" w:color="000000"/>
              <w:left w:val="single" w:sz="4" w:space="0" w:color="000000"/>
              <w:bottom w:val="single" w:sz="4" w:space="0" w:color="000000"/>
              <w:right w:val="single" w:sz="4" w:space="0" w:color="000000"/>
            </w:tcBorders>
            <w:vAlign w:val="center"/>
          </w:tcPr>
          <w:p w14:paraId="454379C4" w14:textId="0FC51E2E" w:rsidR="00D647B0" w:rsidRPr="00D647B0" w:rsidRDefault="00D647B0" w:rsidP="00D647B0">
            <w:pPr>
              <w:tabs>
                <w:tab w:val="left" w:pos="1800"/>
              </w:tabs>
              <w:spacing w:after="0" w:line="240" w:lineRule="auto"/>
              <w:contextualSpacing/>
              <w:rPr>
                <w:rFonts w:asciiTheme="majorHAnsi" w:eastAsia="Arial" w:hAnsiTheme="majorHAnsi" w:cstheme="majorHAnsi"/>
                <w:sz w:val="20"/>
                <w:szCs w:val="20"/>
              </w:rPr>
            </w:pPr>
          </w:p>
        </w:tc>
      </w:tr>
      <w:tr w:rsidR="005011DA" w:rsidRPr="00D647B0" w14:paraId="17EE6B60" w14:textId="77777777" w:rsidTr="00D647B0">
        <w:trPr>
          <w:trHeight w:val="380"/>
          <w:jc w:val="center"/>
        </w:trPr>
        <w:tc>
          <w:tcPr>
            <w:tcW w:w="2550" w:type="dxa"/>
            <w:tcBorders>
              <w:top w:val="single" w:sz="4" w:space="0" w:color="000000"/>
              <w:left w:val="single" w:sz="4" w:space="0" w:color="000000"/>
              <w:bottom w:val="single" w:sz="4" w:space="0" w:color="000000"/>
              <w:right w:val="single" w:sz="4" w:space="0" w:color="000000"/>
            </w:tcBorders>
            <w:vAlign w:val="center"/>
          </w:tcPr>
          <w:p w14:paraId="07BEB4DA" w14:textId="77777777" w:rsidR="005011DA" w:rsidRPr="00D647B0" w:rsidRDefault="005011DA" w:rsidP="00D647B0">
            <w:pPr>
              <w:tabs>
                <w:tab w:val="left" w:pos="1800"/>
              </w:tabs>
              <w:spacing w:after="0" w:line="240" w:lineRule="auto"/>
              <w:contextualSpacing/>
              <w:rPr>
                <w:rFonts w:asciiTheme="majorHAnsi" w:eastAsia="Arial" w:hAnsiTheme="majorHAnsi" w:cstheme="majorHAnsi"/>
                <w:sz w:val="20"/>
                <w:szCs w:val="20"/>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3A2CBDA7" w14:textId="77777777" w:rsidR="005011DA" w:rsidRPr="00D647B0" w:rsidRDefault="005011DA" w:rsidP="00D647B0">
            <w:pPr>
              <w:tabs>
                <w:tab w:val="left" w:pos="1800"/>
              </w:tabs>
              <w:spacing w:after="0" w:line="240" w:lineRule="auto"/>
              <w:contextualSpacing/>
              <w:rPr>
                <w:rFonts w:asciiTheme="majorHAnsi" w:eastAsia="Arial" w:hAnsiTheme="majorHAnsi" w:cstheme="majorHAnsi"/>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61747AD2" w14:textId="77777777" w:rsidR="005011DA" w:rsidRPr="00D647B0" w:rsidRDefault="005011DA" w:rsidP="00D647B0">
            <w:pPr>
              <w:tabs>
                <w:tab w:val="left" w:pos="1800"/>
              </w:tabs>
              <w:spacing w:after="0" w:line="240" w:lineRule="auto"/>
              <w:contextualSpacing/>
              <w:rPr>
                <w:rFonts w:asciiTheme="majorHAnsi" w:eastAsia="Arial" w:hAnsiTheme="majorHAnsi" w:cstheme="majorHAnsi"/>
                <w:sz w:val="20"/>
                <w:szCs w:val="20"/>
              </w:rPr>
            </w:pPr>
          </w:p>
        </w:tc>
        <w:tc>
          <w:tcPr>
            <w:tcW w:w="2850" w:type="dxa"/>
            <w:tcBorders>
              <w:top w:val="single" w:sz="4" w:space="0" w:color="000000"/>
              <w:left w:val="single" w:sz="4" w:space="0" w:color="000000"/>
              <w:bottom w:val="single" w:sz="4" w:space="0" w:color="000000"/>
              <w:right w:val="single" w:sz="4" w:space="0" w:color="000000"/>
            </w:tcBorders>
            <w:vAlign w:val="center"/>
          </w:tcPr>
          <w:p w14:paraId="4C98AB3F" w14:textId="77777777" w:rsidR="005011DA" w:rsidRPr="00D647B0" w:rsidRDefault="005011DA" w:rsidP="00D647B0">
            <w:pPr>
              <w:tabs>
                <w:tab w:val="left" w:pos="1800"/>
              </w:tabs>
              <w:spacing w:after="0" w:line="240" w:lineRule="auto"/>
              <w:contextualSpacing/>
              <w:rPr>
                <w:rFonts w:asciiTheme="majorHAnsi" w:eastAsia="Arial" w:hAnsiTheme="majorHAnsi" w:cstheme="majorHAnsi"/>
                <w:sz w:val="20"/>
                <w:szCs w:val="20"/>
              </w:rPr>
            </w:pPr>
          </w:p>
        </w:tc>
      </w:tr>
    </w:tbl>
    <w:p w14:paraId="6B46DC02" w14:textId="77777777" w:rsidR="00DE5BCE" w:rsidRPr="00D647B0" w:rsidRDefault="00DE5BCE" w:rsidP="00D647B0">
      <w:pPr>
        <w:spacing w:after="0" w:line="240" w:lineRule="auto"/>
        <w:contextualSpacing/>
        <w:rPr>
          <w:rFonts w:asciiTheme="majorHAnsi" w:eastAsia="Arial" w:hAnsiTheme="majorHAnsi" w:cstheme="majorHAnsi"/>
          <w:sz w:val="20"/>
          <w:szCs w:val="20"/>
        </w:rPr>
      </w:pPr>
    </w:p>
    <w:p w14:paraId="187335A3" w14:textId="77777777" w:rsidR="00DE5BCE" w:rsidRPr="00D647B0" w:rsidRDefault="00E00CED" w:rsidP="00D647B0">
      <w:pPr>
        <w:spacing w:after="0" w:line="240" w:lineRule="auto"/>
        <w:contextualSpacing/>
        <w:rPr>
          <w:rFonts w:asciiTheme="majorHAnsi" w:eastAsia="Arial" w:hAnsiTheme="majorHAnsi" w:cstheme="majorHAnsi"/>
          <w:sz w:val="20"/>
          <w:szCs w:val="20"/>
        </w:rPr>
      </w:pPr>
      <w:r w:rsidRPr="00D647B0">
        <w:rPr>
          <w:rFonts w:asciiTheme="majorHAnsi" w:eastAsia="Arial" w:hAnsiTheme="majorHAnsi" w:cstheme="majorHAnsi"/>
          <w:b/>
          <w:sz w:val="20"/>
          <w:szCs w:val="20"/>
        </w:rPr>
        <w:t xml:space="preserve">Participation Details: </w:t>
      </w:r>
      <w:r w:rsidRPr="00D647B0">
        <w:rPr>
          <w:rFonts w:asciiTheme="majorHAnsi" w:eastAsia="Arial" w:hAnsiTheme="majorHAnsi" w:cstheme="majorHAnsi"/>
          <w:sz w:val="20"/>
          <w:szCs w:val="20"/>
        </w:rPr>
        <w:t>see note 2</w:t>
      </w:r>
    </w:p>
    <w:tbl>
      <w:tblPr>
        <w:tblStyle w:val="5"/>
        <w:tblW w:w="10080" w:type="dxa"/>
        <w:jc w:val="center"/>
        <w:tblLayout w:type="fixed"/>
        <w:tblLook w:val="0400" w:firstRow="0" w:lastRow="0" w:firstColumn="0" w:lastColumn="0" w:noHBand="0" w:noVBand="1"/>
      </w:tblPr>
      <w:tblGrid>
        <w:gridCol w:w="3480"/>
        <w:gridCol w:w="2280"/>
        <w:gridCol w:w="3120"/>
        <w:gridCol w:w="1200"/>
      </w:tblGrid>
      <w:tr w:rsidR="00DE5BCE" w:rsidRPr="00D647B0" w14:paraId="4639E938" w14:textId="77777777" w:rsidTr="00D647B0">
        <w:trPr>
          <w:trHeight w:val="20"/>
          <w:jc w:val="center"/>
        </w:trPr>
        <w:tc>
          <w:tcPr>
            <w:tcW w:w="3480"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14:paraId="16DD59E7" w14:textId="77777777" w:rsidR="00DE5BCE" w:rsidRPr="00D647B0" w:rsidRDefault="00E00CED" w:rsidP="00D647B0">
            <w:pPr>
              <w:spacing w:after="0" w:line="240" w:lineRule="auto"/>
              <w:contextualSpacing/>
              <w:rPr>
                <w:rFonts w:asciiTheme="majorHAnsi" w:eastAsia="Arial" w:hAnsiTheme="majorHAnsi" w:cstheme="majorHAnsi"/>
                <w:b/>
                <w:sz w:val="20"/>
                <w:szCs w:val="20"/>
              </w:rPr>
            </w:pPr>
            <w:r w:rsidRPr="00D647B0">
              <w:rPr>
                <w:rFonts w:asciiTheme="majorHAnsi" w:eastAsia="Arial" w:hAnsiTheme="majorHAnsi" w:cstheme="majorHAnsi"/>
                <w:b/>
                <w:sz w:val="20"/>
                <w:szCs w:val="20"/>
              </w:rPr>
              <w:t xml:space="preserve">What areas will this audit impact on? </w:t>
            </w:r>
          </w:p>
        </w:tc>
        <w:tc>
          <w:tcPr>
            <w:tcW w:w="6600" w:type="dxa"/>
            <w:gridSpan w:val="3"/>
            <w:tcBorders>
              <w:top w:val="single" w:sz="4" w:space="0" w:color="000000"/>
              <w:left w:val="single" w:sz="4" w:space="0" w:color="000000"/>
              <w:bottom w:val="single" w:sz="4" w:space="0" w:color="000000"/>
              <w:right w:val="single" w:sz="4" w:space="0" w:color="000000"/>
            </w:tcBorders>
            <w:shd w:val="clear" w:color="auto" w:fill="CCCCCC"/>
            <w:vAlign w:val="center"/>
          </w:tcPr>
          <w:p w14:paraId="44CEA26C" w14:textId="77777777" w:rsidR="00DE5BCE" w:rsidRPr="00D647B0" w:rsidRDefault="00E00CED" w:rsidP="00D647B0">
            <w:pPr>
              <w:spacing w:after="0" w:line="240" w:lineRule="auto"/>
              <w:ind w:right="-108"/>
              <w:contextualSpacing/>
              <w:jc w:val="center"/>
              <w:rPr>
                <w:rFonts w:asciiTheme="majorHAnsi" w:eastAsia="Arial" w:hAnsiTheme="majorHAnsi" w:cstheme="majorHAnsi"/>
                <w:b/>
                <w:sz w:val="20"/>
                <w:szCs w:val="20"/>
              </w:rPr>
            </w:pPr>
            <w:r w:rsidRPr="00D647B0">
              <w:rPr>
                <w:rFonts w:asciiTheme="majorHAnsi" w:eastAsia="Arial" w:hAnsiTheme="majorHAnsi" w:cstheme="majorHAnsi"/>
                <w:b/>
                <w:sz w:val="20"/>
                <w:szCs w:val="20"/>
              </w:rPr>
              <w:t>Who in this area have you discussed and agreed this audit with?</w:t>
            </w:r>
          </w:p>
        </w:tc>
      </w:tr>
      <w:tr w:rsidR="00DE5BCE" w:rsidRPr="00D647B0" w14:paraId="3E608FEC" w14:textId="77777777" w:rsidTr="00D647B0">
        <w:trPr>
          <w:trHeight w:val="440"/>
          <w:jc w:val="center"/>
        </w:trPr>
        <w:tc>
          <w:tcPr>
            <w:tcW w:w="3480"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14:paraId="36B4D6F8" w14:textId="77777777" w:rsidR="00DE5BCE" w:rsidRPr="00D647B0" w:rsidRDefault="00DE5BCE" w:rsidP="00D647B0">
            <w:pPr>
              <w:widowControl w:val="0"/>
              <w:pBdr>
                <w:top w:val="nil"/>
                <w:left w:val="nil"/>
                <w:bottom w:val="nil"/>
                <w:right w:val="nil"/>
                <w:between w:val="nil"/>
              </w:pBdr>
              <w:spacing w:after="0" w:line="240" w:lineRule="auto"/>
              <w:contextualSpacing/>
              <w:rPr>
                <w:rFonts w:asciiTheme="majorHAnsi" w:eastAsia="Arial" w:hAnsiTheme="majorHAnsi" w:cstheme="majorHAnsi"/>
                <w:b/>
                <w:sz w:val="20"/>
                <w:szCs w:val="20"/>
              </w:rPr>
            </w:pPr>
          </w:p>
        </w:tc>
        <w:tc>
          <w:tcPr>
            <w:tcW w:w="2280" w:type="dxa"/>
            <w:vMerge w:val="restart"/>
            <w:tcBorders>
              <w:top w:val="single" w:sz="4" w:space="0" w:color="000000"/>
              <w:left w:val="single" w:sz="4" w:space="0" w:color="000000"/>
              <w:bottom w:val="single" w:sz="4" w:space="0" w:color="000000"/>
              <w:right w:val="single" w:sz="4" w:space="0" w:color="000000"/>
            </w:tcBorders>
            <w:vAlign w:val="center"/>
          </w:tcPr>
          <w:p w14:paraId="52A7C8D3" w14:textId="77777777" w:rsidR="00DE5BCE" w:rsidRPr="00D647B0" w:rsidRDefault="00E00CED" w:rsidP="00D647B0">
            <w:pPr>
              <w:spacing w:after="0" w:line="240" w:lineRule="auto"/>
              <w:ind w:right="-108"/>
              <w:contextualSpacing/>
              <w:jc w:val="center"/>
              <w:rPr>
                <w:rFonts w:asciiTheme="majorHAnsi" w:eastAsia="Arial" w:hAnsiTheme="majorHAnsi" w:cstheme="majorHAnsi"/>
                <w:sz w:val="20"/>
                <w:szCs w:val="20"/>
              </w:rPr>
            </w:pPr>
            <w:r w:rsidRPr="00D647B0">
              <w:rPr>
                <w:rFonts w:asciiTheme="majorHAnsi" w:eastAsia="Arial" w:hAnsiTheme="majorHAnsi" w:cstheme="majorHAnsi"/>
                <w:sz w:val="20"/>
                <w:szCs w:val="20"/>
              </w:rPr>
              <w:t>Name</w:t>
            </w:r>
          </w:p>
        </w:tc>
        <w:tc>
          <w:tcPr>
            <w:tcW w:w="3120" w:type="dxa"/>
            <w:vMerge w:val="restart"/>
            <w:tcBorders>
              <w:top w:val="single" w:sz="4" w:space="0" w:color="000000"/>
              <w:left w:val="single" w:sz="4" w:space="0" w:color="000000"/>
              <w:bottom w:val="single" w:sz="4" w:space="0" w:color="000000"/>
              <w:right w:val="single" w:sz="4" w:space="0" w:color="000000"/>
            </w:tcBorders>
            <w:vAlign w:val="center"/>
          </w:tcPr>
          <w:p w14:paraId="09D0339A" w14:textId="77777777" w:rsidR="00DE5BCE" w:rsidRPr="00D647B0" w:rsidRDefault="00E00CED" w:rsidP="00D647B0">
            <w:pPr>
              <w:spacing w:after="0" w:line="240" w:lineRule="auto"/>
              <w:ind w:left="-108" w:right="-108"/>
              <w:contextualSpacing/>
              <w:jc w:val="center"/>
              <w:rPr>
                <w:rFonts w:asciiTheme="majorHAnsi" w:eastAsia="Arial" w:hAnsiTheme="majorHAnsi" w:cstheme="majorHAnsi"/>
                <w:sz w:val="20"/>
                <w:szCs w:val="20"/>
              </w:rPr>
            </w:pPr>
            <w:r w:rsidRPr="00D647B0">
              <w:rPr>
                <w:rFonts w:asciiTheme="majorHAnsi" w:eastAsia="Arial" w:hAnsiTheme="majorHAnsi" w:cstheme="majorHAnsi"/>
                <w:sz w:val="20"/>
                <w:szCs w:val="20"/>
              </w:rPr>
              <w:t>Job Title</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13585278" w14:textId="77777777" w:rsidR="00DE5BCE" w:rsidRPr="00D647B0" w:rsidRDefault="00E00CED" w:rsidP="00D647B0">
            <w:pPr>
              <w:spacing w:after="0" w:line="240" w:lineRule="auto"/>
              <w:ind w:left="-108" w:right="-108"/>
              <w:contextualSpacing/>
              <w:jc w:val="center"/>
              <w:rPr>
                <w:rFonts w:asciiTheme="majorHAnsi" w:eastAsia="Arial" w:hAnsiTheme="majorHAnsi" w:cstheme="majorHAnsi"/>
                <w:sz w:val="20"/>
                <w:szCs w:val="20"/>
              </w:rPr>
            </w:pPr>
            <w:r w:rsidRPr="00D647B0">
              <w:rPr>
                <w:rFonts w:asciiTheme="majorHAnsi" w:eastAsia="Arial" w:hAnsiTheme="majorHAnsi" w:cstheme="majorHAnsi"/>
                <w:sz w:val="20"/>
                <w:szCs w:val="20"/>
              </w:rPr>
              <w:t>Date Agreed</w:t>
            </w:r>
          </w:p>
        </w:tc>
      </w:tr>
      <w:tr w:rsidR="00DE5BCE" w:rsidRPr="00D647B0" w14:paraId="13A6F923" w14:textId="77777777" w:rsidTr="00D647B0">
        <w:trPr>
          <w:trHeight w:val="440"/>
          <w:jc w:val="center"/>
        </w:trPr>
        <w:tc>
          <w:tcPr>
            <w:tcW w:w="3480"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14:paraId="197E31C5" w14:textId="77777777" w:rsidR="00DE5BCE" w:rsidRPr="00D647B0" w:rsidRDefault="00DE5BCE" w:rsidP="00D647B0">
            <w:pPr>
              <w:widowControl w:val="0"/>
              <w:pBdr>
                <w:top w:val="nil"/>
                <w:left w:val="nil"/>
                <w:bottom w:val="nil"/>
                <w:right w:val="nil"/>
                <w:between w:val="nil"/>
              </w:pBdr>
              <w:spacing w:after="0" w:line="240" w:lineRule="auto"/>
              <w:contextualSpacing/>
              <w:rPr>
                <w:rFonts w:asciiTheme="majorHAnsi" w:eastAsia="Arial" w:hAnsiTheme="majorHAnsi" w:cstheme="majorHAnsi"/>
                <w:sz w:val="20"/>
                <w:szCs w:val="20"/>
              </w:rPr>
            </w:pPr>
          </w:p>
        </w:tc>
        <w:tc>
          <w:tcPr>
            <w:tcW w:w="2280" w:type="dxa"/>
            <w:vMerge/>
            <w:tcBorders>
              <w:top w:val="single" w:sz="4" w:space="0" w:color="000000"/>
              <w:left w:val="single" w:sz="4" w:space="0" w:color="000000"/>
              <w:bottom w:val="single" w:sz="4" w:space="0" w:color="000000"/>
              <w:right w:val="single" w:sz="4" w:space="0" w:color="000000"/>
            </w:tcBorders>
            <w:vAlign w:val="center"/>
          </w:tcPr>
          <w:p w14:paraId="19480EA9" w14:textId="77777777" w:rsidR="00DE5BCE" w:rsidRPr="00D647B0" w:rsidRDefault="00DE5BCE" w:rsidP="00D647B0">
            <w:pPr>
              <w:widowControl w:val="0"/>
              <w:pBdr>
                <w:top w:val="nil"/>
                <w:left w:val="nil"/>
                <w:bottom w:val="nil"/>
                <w:right w:val="nil"/>
                <w:between w:val="nil"/>
              </w:pBdr>
              <w:spacing w:after="0" w:line="240" w:lineRule="auto"/>
              <w:contextualSpacing/>
              <w:rPr>
                <w:rFonts w:asciiTheme="majorHAnsi" w:eastAsia="Arial" w:hAnsiTheme="majorHAnsi" w:cstheme="majorHAnsi"/>
                <w:sz w:val="20"/>
                <w:szCs w:val="20"/>
              </w:rPr>
            </w:pPr>
          </w:p>
        </w:tc>
        <w:tc>
          <w:tcPr>
            <w:tcW w:w="3120" w:type="dxa"/>
            <w:vMerge/>
            <w:tcBorders>
              <w:top w:val="single" w:sz="4" w:space="0" w:color="000000"/>
              <w:left w:val="single" w:sz="4" w:space="0" w:color="000000"/>
              <w:bottom w:val="single" w:sz="4" w:space="0" w:color="000000"/>
              <w:right w:val="single" w:sz="4" w:space="0" w:color="000000"/>
            </w:tcBorders>
            <w:vAlign w:val="center"/>
          </w:tcPr>
          <w:p w14:paraId="7C6736CB" w14:textId="77777777" w:rsidR="00DE5BCE" w:rsidRPr="00D647B0" w:rsidRDefault="00DE5BCE" w:rsidP="00D647B0">
            <w:pPr>
              <w:widowControl w:val="0"/>
              <w:pBdr>
                <w:top w:val="nil"/>
                <w:left w:val="nil"/>
                <w:bottom w:val="nil"/>
                <w:right w:val="nil"/>
                <w:between w:val="nil"/>
              </w:pBdr>
              <w:spacing w:after="0" w:line="240" w:lineRule="auto"/>
              <w:contextualSpacing/>
              <w:rPr>
                <w:rFonts w:asciiTheme="majorHAnsi" w:eastAsia="Arial" w:hAnsiTheme="majorHAnsi" w:cstheme="majorHAnsi"/>
                <w:sz w:val="20"/>
                <w:szCs w:val="20"/>
              </w:rPr>
            </w:pPr>
          </w:p>
        </w:tc>
        <w:tc>
          <w:tcPr>
            <w:tcW w:w="1200" w:type="dxa"/>
            <w:vMerge/>
            <w:tcBorders>
              <w:top w:val="single" w:sz="4" w:space="0" w:color="000000"/>
              <w:left w:val="single" w:sz="4" w:space="0" w:color="000000"/>
              <w:bottom w:val="single" w:sz="4" w:space="0" w:color="000000"/>
              <w:right w:val="single" w:sz="4" w:space="0" w:color="000000"/>
            </w:tcBorders>
            <w:vAlign w:val="center"/>
          </w:tcPr>
          <w:p w14:paraId="1EADFBF0" w14:textId="77777777" w:rsidR="00DE5BCE" w:rsidRPr="00D647B0" w:rsidRDefault="00DE5BCE" w:rsidP="00D647B0">
            <w:pPr>
              <w:widowControl w:val="0"/>
              <w:pBdr>
                <w:top w:val="nil"/>
                <w:left w:val="nil"/>
                <w:bottom w:val="nil"/>
                <w:right w:val="nil"/>
                <w:between w:val="nil"/>
              </w:pBdr>
              <w:spacing w:after="0" w:line="240" w:lineRule="auto"/>
              <w:contextualSpacing/>
              <w:rPr>
                <w:rFonts w:asciiTheme="majorHAnsi" w:eastAsia="Arial" w:hAnsiTheme="majorHAnsi" w:cstheme="majorHAnsi"/>
                <w:sz w:val="20"/>
                <w:szCs w:val="20"/>
              </w:rPr>
            </w:pPr>
          </w:p>
        </w:tc>
      </w:tr>
      <w:tr w:rsidR="00DE5BCE" w:rsidRPr="00D647B0" w14:paraId="79FE1417" w14:textId="77777777" w:rsidTr="00D647B0">
        <w:trPr>
          <w:trHeight w:val="380"/>
          <w:jc w:val="center"/>
        </w:trPr>
        <w:tc>
          <w:tcPr>
            <w:tcW w:w="3480" w:type="dxa"/>
            <w:tcBorders>
              <w:top w:val="single" w:sz="4" w:space="0" w:color="000000"/>
              <w:left w:val="single" w:sz="4" w:space="0" w:color="000000"/>
              <w:bottom w:val="single" w:sz="4" w:space="0" w:color="000000"/>
              <w:right w:val="single" w:sz="4" w:space="0" w:color="000000"/>
            </w:tcBorders>
            <w:vAlign w:val="center"/>
          </w:tcPr>
          <w:p w14:paraId="07B06A1E" w14:textId="70E4E109" w:rsidR="00DE5BCE" w:rsidRPr="00D647B0" w:rsidRDefault="00E6651A" w:rsidP="00D647B0">
            <w:pPr>
              <w:spacing w:after="0" w:line="240" w:lineRule="auto"/>
              <w:contextualSpacing/>
              <w:rPr>
                <w:rFonts w:asciiTheme="majorHAnsi" w:eastAsia="Arial" w:hAnsiTheme="majorHAnsi" w:cstheme="majorHAnsi"/>
                <w:sz w:val="20"/>
                <w:szCs w:val="20"/>
              </w:rPr>
            </w:pPr>
            <w:r>
              <w:rPr>
                <w:rFonts w:asciiTheme="majorHAnsi" w:eastAsia="Arial" w:hAnsiTheme="majorHAnsi" w:cstheme="majorHAnsi"/>
                <w:sz w:val="20"/>
                <w:szCs w:val="20"/>
              </w:rPr>
              <w:t xml:space="preserve">Department </w:t>
            </w:r>
            <w:proofErr w:type="gramStart"/>
            <w:r>
              <w:rPr>
                <w:rFonts w:asciiTheme="majorHAnsi" w:eastAsia="Arial" w:hAnsiTheme="majorHAnsi" w:cstheme="majorHAnsi"/>
                <w:sz w:val="20"/>
                <w:szCs w:val="20"/>
              </w:rPr>
              <w:t>e.g.</w:t>
            </w:r>
            <w:proofErr w:type="gramEnd"/>
            <w:r>
              <w:rPr>
                <w:rFonts w:asciiTheme="majorHAnsi" w:eastAsia="Arial" w:hAnsiTheme="majorHAnsi" w:cstheme="majorHAnsi"/>
                <w:sz w:val="20"/>
                <w:szCs w:val="20"/>
              </w:rPr>
              <w:t xml:space="preserve"> Orthopaedics, Plastics</w:t>
            </w:r>
          </w:p>
        </w:tc>
        <w:tc>
          <w:tcPr>
            <w:tcW w:w="2280" w:type="dxa"/>
            <w:tcBorders>
              <w:top w:val="single" w:sz="4" w:space="0" w:color="000000"/>
              <w:left w:val="single" w:sz="4" w:space="0" w:color="000000"/>
              <w:bottom w:val="single" w:sz="4" w:space="0" w:color="000000"/>
              <w:right w:val="single" w:sz="4" w:space="0" w:color="000000"/>
            </w:tcBorders>
            <w:vAlign w:val="center"/>
          </w:tcPr>
          <w:p w14:paraId="15E3AF6F" w14:textId="77777777" w:rsidR="00DE5BCE" w:rsidRPr="00D647B0" w:rsidRDefault="00E00CED" w:rsidP="00D647B0">
            <w:pPr>
              <w:spacing w:after="0" w:line="240" w:lineRule="auto"/>
              <w:contextualSpacing/>
              <w:rPr>
                <w:rFonts w:asciiTheme="majorHAnsi" w:eastAsia="Arial" w:hAnsiTheme="majorHAnsi" w:cstheme="majorHAnsi"/>
                <w:i/>
                <w:sz w:val="20"/>
                <w:szCs w:val="20"/>
              </w:rPr>
            </w:pPr>
            <w:r w:rsidRPr="00D647B0">
              <w:rPr>
                <w:rFonts w:asciiTheme="majorHAnsi" w:eastAsia="Arial" w:hAnsiTheme="majorHAnsi" w:cstheme="majorHAnsi"/>
                <w:i/>
                <w:sz w:val="20"/>
                <w:szCs w:val="20"/>
              </w:rPr>
              <w:t>Named Consultant</w:t>
            </w:r>
          </w:p>
        </w:tc>
        <w:tc>
          <w:tcPr>
            <w:tcW w:w="3120" w:type="dxa"/>
            <w:tcBorders>
              <w:top w:val="single" w:sz="4" w:space="0" w:color="000000"/>
              <w:left w:val="single" w:sz="4" w:space="0" w:color="000000"/>
              <w:bottom w:val="single" w:sz="4" w:space="0" w:color="000000"/>
              <w:right w:val="single" w:sz="4" w:space="0" w:color="000000"/>
            </w:tcBorders>
            <w:vAlign w:val="center"/>
          </w:tcPr>
          <w:p w14:paraId="5ACDE115" w14:textId="77777777" w:rsidR="00DE5BCE" w:rsidRPr="00D647B0" w:rsidRDefault="00DE5BCE" w:rsidP="00D647B0">
            <w:pPr>
              <w:spacing w:after="0" w:line="240" w:lineRule="auto"/>
              <w:contextualSpacing/>
              <w:rPr>
                <w:rFonts w:asciiTheme="majorHAnsi" w:eastAsia="Arial" w:hAnsiTheme="majorHAnsi" w:cstheme="majorHAns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740BF78" w14:textId="77777777" w:rsidR="00DE5BCE" w:rsidRPr="00D647B0" w:rsidRDefault="00DE5BCE" w:rsidP="00D647B0">
            <w:pPr>
              <w:spacing w:after="0" w:line="240" w:lineRule="auto"/>
              <w:contextualSpacing/>
              <w:rPr>
                <w:rFonts w:asciiTheme="majorHAnsi" w:eastAsia="Arial" w:hAnsiTheme="majorHAnsi" w:cstheme="majorHAnsi"/>
                <w:sz w:val="20"/>
                <w:szCs w:val="20"/>
              </w:rPr>
            </w:pPr>
          </w:p>
        </w:tc>
      </w:tr>
      <w:tr w:rsidR="00AB54C4" w:rsidRPr="00D647B0" w14:paraId="5F410232" w14:textId="77777777" w:rsidTr="00D647B0">
        <w:trPr>
          <w:trHeight w:val="380"/>
          <w:jc w:val="center"/>
        </w:trPr>
        <w:tc>
          <w:tcPr>
            <w:tcW w:w="3480" w:type="dxa"/>
            <w:tcBorders>
              <w:top w:val="single" w:sz="4" w:space="0" w:color="000000"/>
              <w:left w:val="single" w:sz="4" w:space="0" w:color="000000"/>
              <w:bottom w:val="single" w:sz="4" w:space="0" w:color="000000"/>
              <w:right w:val="single" w:sz="4" w:space="0" w:color="000000"/>
            </w:tcBorders>
            <w:vAlign w:val="center"/>
          </w:tcPr>
          <w:p w14:paraId="53090125" w14:textId="77777777" w:rsidR="00AB54C4" w:rsidRDefault="00AB54C4" w:rsidP="00D647B0">
            <w:pPr>
              <w:spacing w:after="0" w:line="240" w:lineRule="auto"/>
              <w:contextualSpacing/>
              <w:rPr>
                <w:rFonts w:asciiTheme="majorHAnsi" w:eastAsia="Arial" w:hAnsiTheme="majorHAnsi" w:cstheme="majorHAnsi"/>
                <w:sz w:val="20"/>
                <w:szCs w:val="20"/>
              </w:rPr>
            </w:pPr>
          </w:p>
        </w:tc>
        <w:tc>
          <w:tcPr>
            <w:tcW w:w="2280" w:type="dxa"/>
            <w:tcBorders>
              <w:top w:val="single" w:sz="4" w:space="0" w:color="000000"/>
              <w:left w:val="single" w:sz="4" w:space="0" w:color="000000"/>
              <w:bottom w:val="single" w:sz="4" w:space="0" w:color="000000"/>
              <w:right w:val="single" w:sz="4" w:space="0" w:color="000000"/>
            </w:tcBorders>
            <w:vAlign w:val="center"/>
          </w:tcPr>
          <w:p w14:paraId="1B7DD23E" w14:textId="77777777" w:rsidR="00AB54C4" w:rsidRPr="00D647B0" w:rsidRDefault="00AB54C4" w:rsidP="00D647B0">
            <w:pPr>
              <w:spacing w:after="0" w:line="240" w:lineRule="auto"/>
              <w:contextualSpacing/>
              <w:rPr>
                <w:rFonts w:asciiTheme="majorHAnsi" w:eastAsia="Arial" w:hAnsiTheme="majorHAnsi" w:cstheme="majorHAnsi"/>
                <w:i/>
                <w:sz w:val="20"/>
                <w:szCs w:val="20"/>
              </w:rPr>
            </w:pPr>
          </w:p>
        </w:tc>
        <w:tc>
          <w:tcPr>
            <w:tcW w:w="3120" w:type="dxa"/>
            <w:tcBorders>
              <w:top w:val="single" w:sz="4" w:space="0" w:color="000000"/>
              <w:left w:val="single" w:sz="4" w:space="0" w:color="000000"/>
              <w:bottom w:val="single" w:sz="4" w:space="0" w:color="000000"/>
              <w:right w:val="single" w:sz="4" w:space="0" w:color="000000"/>
            </w:tcBorders>
            <w:vAlign w:val="center"/>
          </w:tcPr>
          <w:p w14:paraId="44F75A48" w14:textId="77777777" w:rsidR="00AB54C4" w:rsidRPr="00D647B0" w:rsidRDefault="00AB54C4" w:rsidP="00D647B0">
            <w:pPr>
              <w:spacing w:after="0" w:line="240" w:lineRule="auto"/>
              <w:contextualSpacing/>
              <w:rPr>
                <w:rFonts w:asciiTheme="majorHAnsi" w:eastAsia="Arial" w:hAnsiTheme="majorHAnsi" w:cstheme="majorHAns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04F5A1D" w14:textId="77777777" w:rsidR="00AB54C4" w:rsidRPr="00D647B0" w:rsidRDefault="00AB54C4" w:rsidP="00D647B0">
            <w:pPr>
              <w:spacing w:after="0" w:line="240" w:lineRule="auto"/>
              <w:contextualSpacing/>
              <w:rPr>
                <w:rFonts w:asciiTheme="majorHAnsi" w:eastAsia="Arial" w:hAnsiTheme="majorHAnsi" w:cstheme="majorHAnsi"/>
                <w:sz w:val="20"/>
                <w:szCs w:val="20"/>
              </w:rPr>
            </w:pPr>
          </w:p>
        </w:tc>
      </w:tr>
    </w:tbl>
    <w:p w14:paraId="417C878B" w14:textId="77777777" w:rsidR="00DE5BCE" w:rsidRPr="00D647B0" w:rsidRDefault="00DE5BCE" w:rsidP="00D647B0">
      <w:pPr>
        <w:spacing w:after="0" w:line="240" w:lineRule="auto"/>
        <w:contextualSpacing/>
        <w:rPr>
          <w:rFonts w:asciiTheme="majorHAnsi" w:eastAsia="Arial" w:hAnsiTheme="majorHAnsi" w:cstheme="majorHAnsi"/>
          <w:sz w:val="20"/>
          <w:szCs w:val="20"/>
        </w:rPr>
      </w:pPr>
    </w:p>
    <w:tbl>
      <w:tblPr>
        <w:tblStyle w:val="4"/>
        <w:tblW w:w="10068"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0068"/>
      </w:tblGrid>
      <w:tr w:rsidR="00DE5BCE" w:rsidRPr="00D647B0" w14:paraId="170AFD2A" w14:textId="77777777" w:rsidTr="00706F52">
        <w:trPr>
          <w:trHeight w:val="4338"/>
          <w:jc w:val="center"/>
        </w:trPr>
        <w:tc>
          <w:tcPr>
            <w:tcW w:w="10068" w:type="dxa"/>
            <w:tcBorders>
              <w:top w:val="single" w:sz="4" w:space="0" w:color="000000"/>
              <w:left w:val="single" w:sz="4" w:space="0" w:color="000000"/>
              <w:bottom w:val="single" w:sz="4" w:space="0" w:color="000000"/>
              <w:right w:val="single" w:sz="4" w:space="0" w:color="000000"/>
            </w:tcBorders>
            <w:vAlign w:val="center"/>
          </w:tcPr>
          <w:p w14:paraId="6168B6B6" w14:textId="77777777" w:rsidR="00DE5BCE" w:rsidRPr="00D647B0" w:rsidRDefault="00E00CED" w:rsidP="00706F52">
            <w:pPr>
              <w:spacing w:after="120" w:line="240" w:lineRule="auto"/>
              <w:rPr>
                <w:rFonts w:asciiTheme="majorHAnsi" w:eastAsia="Arial" w:hAnsiTheme="majorHAnsi" w:cstheme="majorHAnsi"/>
                <w:b/>
                <w:sz w:val="20"/>
                <w:szCs w:val="20"/>
              </w:rPr>
            </w:pPr>
            <w:r w:rsidRPr="00D647B0">
              <w:rPr>
                <w:rFonts w:asciiTheme="majorHAnsi" w:eastAsia="Arial" w:hAnsiTheme="majorHAnsi" w:cstheme="majorHAnsi"/>
                <w:b/>
                <w:sz w:val="20"/>
                <w:szCs w:val="20"/>
              </w:rPr>
              <w:t>Background</w:t>
            </w:r>
          </w:p>
          <w:p w14:paraId="76330D38" w14:textId="26F3562E" w:rsidR="00706F52" w:rsidRDefault="008B3A22" w:rsidP="00706F52">
            <w:pPr>
              <w:spacing w:after="120" w:line="240" w:lineRule="auto"/>
              <w:rPr>
                <w:rFonts w:asciiTheme="majorHAnsi" w:eastAsia="Arial" w:hAnsiTheme="majorHAnsi" w:cstheme="majorHAnsi"/>
                <w:sz w:val="20"/>
                <w:szCs w:val="20"/>
              </w:rPr>
            </w:pPr>
            <w:r>
              <w:rPr>
                <w:rFonts w:asciiTheme="majorHAnsi" w:eastAsia="Arial" w:hAnsiTheme="majorHAnsi" w:cstheme="majorHAnsi"/>
                <w:sz w:val="20"/>
                <w:szCs w:val="20"/>
              </w:rPr>
              <w:t xml:space="preserve">Early diagnosis in bone and soft-tissue sarcomas remains a leading priority for all patients, supporters, clinicians and researchers and guidelines regarding </w:t>
            </w:r>
            <w:r w:rsidR="00CB6697">
              <w:rPr>
                <w:rFonts w:asciiTheme="majorHAnsi" w:eastAsia="Arial" w:hAnsiTheme="majorHAnsi" w:cstheme="majorHAnsi"/>
                <w:sz w:val="20"/>
                <w:szCs w:val="20"/>
              </w:rPr>
              <w:t>referral pathways, urgency of referrals and imaging for the UK exist to support this aim.</w:t>
            </w:r>
            <w:r w:rsidR="00CB6697" w:rsidRPr="00CB6697">
              <w:rPr>
                <w:rFonts w:asciiTheme="majorHAnsi" w:eastAsia="Arial" w:hAnsiTheme="majorHAnsi" w:cstheme="majorHAnsi"/>
                <w:sz w:val="20"/>
                <w:szCs w:val="20"/>
                <w:vertAlign w:val="superscript"/>
              </w:rPr>
              <w:t>1-4</w:t>
            </w:r>
            <w:r w:rsidR="00CB6697">
              <w:rPr>
                <w:rFonts w:asciiTheme="majorHAnsi" w:eastAsia="Arial" w:hAnsiTheme="majorHAnsi" w:cstheme="majorHAnsi"/>
                <w:sz w:val="20"/>
                <w:szCs w:val="20"/>
              </w:rPr>
              <w:t xml:space="preserve"> Many retrospective studies have highlighted delays in the diagnostic process for sarcomas and suggested that delay in initiating </w:t>
            </w:r>
            <w:r w:rsidR="00B7034B">
              <w:rPr>
                <w:rFonts w:asciiTheme="majorHAnsi" w:eastAsia="Arial" w:hAnsiTheme="majorHAnsi" w:cstheme="majorHAnsi"/>
                <w:sz w:val="20"/>
                <w:szCs w:val="20"/>
              </w:rPr>
              <w:t>treatment is associated with worse patient survival.</w:t>
            </w:r>
            <w:r w:rsidR="0014653F" w:rsidRPr="0014653F">
              <w:rPr>
                <w:rFonts w:asciiTheme="majorHAnsi" w:eastAsia="Arial" w:hAnsiTheme="majorHAnsi" w:cstheme="majorHAnsi"/>
                <w:sz w:val="20"/>
                <w:szCs w:val="20"/>
                <w:vertAlign w:val="superscript"/>
              </w:rPr>
              <w:t>5-8</w:t>
            </w:r>
            <w:r w:rsidR="00B7034B">
              <w:rPr>
                <w:rFonts w:asciiTheme="majorHAnsi" w:eastAsia="Arial" w:hAnsiTheme="majorHAnsi" w:cstheme="majorHAnsi"/>
                <w:sz w:val="20"/>
                <w:szCs w:val="20"/>
              </w:rPr>
              <w:t xml:space="preserve"> </w:t>
            </w:r>
          </w:p>
          <w:p w14:paraId="19E67D32" w14:textId="0594B7DB" w:rsidR="00B743F7" w:rsidRDefault="00B743F7" w:rsidP="00706F52">
            <w:pPr>
              <w:spacing w:after="120" w:line="240" w:lineRule="auto"/>
              <w:rPr>
                <w:rFonts w:asciiTheme="majorHAnsi" w:eastAsia="Arial" w:hAnsiTheme="majorHAnsi" w:cstheme="majorHAnsi"/>
                <w:sz w:val="20"/>
                <w:szCs w:val="20"/>
              </w:rPr>
            </w:pPr>
            <w:r>
              <w:rPr>
                <w:rFonts w:asciiTheme="majorHAnsi" w:eastAsia="Arial" w:hAnsiTheme="majorHAnsi" w:cstheme="majorHAnsi"/>
                <w:sz w:val="20"/>
                <w:szCs w:val="20"/>
              </w:rPr>
              <w:t>Recent patient surveys from Sarcoma UK and the Bone Cancer Research Trust have highlighted the never-ending need to improve early diagnosis in sarcoma and we propose to audit current referral practice against current UK sarcoma guidelines</w:t>
            </w:r>
            <w:r w:rsidR="00E6651A">
              <w:rPr>
                <w:rFonts w:asciiTheme="majorHAnsi" w:eastAsia="Arial" w:hAnsiTheme="majorHAnsi" w:cstheme="majorHAnsi"/>
                <w:sz w:val="20"/>
                <w:szCs w:val="20"/>
              </w:rPr>
              <w:t xml:space="preserve"> with a focus on routes and time to diagnosis. </w:t>
            </w:r>
          </w:p>
          <w:p w14:paraId="0DDDC22C" w14:textId="77777777" w:rsidR="00B7034B" w:rsidRPr="00D647B0" w:rsidRDefault="00B7034B" w:rsidP="00706F52">
            <w:pPr>
              <w:spacing w:after="120" w:line="240" w:lineRule="auto"/>
              <w:rPr>
                <w:rFonts w:asciiTheme="majorHAnsi" w:eastAsia="Arial" w:hAnsiTheme="majorHAnsi" w:cstheme="majorHAnsi"/>
                <w:sz w:val="20"/>
                <w:szCs w:val="20"/>
              </w:rPr>
            </w:pPr>
          </w:p>
          <w:p w14:paraId="712B9BDD" w14:textId="77777777" w:rsidR="008B3A22" w:rsidRDefault="00E00CED" w:rsidP="008B3A22">
            <w:pPr>
              <w:spacing w:after="120" w:line="240" w:lineRule="auto"/>
              <w:rPr>
                <w:rFonts w:asciiTheme="majorHAnsi" w:hAnsiTheme="majorHAnsi" w:cstheme="majorHAnsi"/>
                <w:sz w:val="20"/>
                <w:szCs w:val="20"/>
              </w:rPr>
            </w:pPr>
            <w:r w:rsidRPr="00D647B0">
              <w:rPr>
                <w:rFonts w:asciiTheme="majorHAnsi" w:eastAsia="Arial" w:hAnsiTheme="majorHAnsi" w:cstheme="majorHAnsi"/>
                <w:sz w:val="20"/>
                <w:szCs w:val="20"/>
              </w:rPr>
              <w:t>References:</w:t>
            </w:r>
            <w:r w:rsidR="008B3A22">
              <w:rPr>
                <w:rFonts w:asciiTheme="majorHAnsi" w:hAnsiTheme="majorHAnsi" w:cstheme="majorHAnsi"/>
                <w:sz w:val="20"/>
                <w:szCs w:val="20"/>
              </w:rPr>
              <w:t xml:space="preserve"> </w:t>
            </w:r>
          </w:p>
          <w:p w14:paraId="7833D363" w14:textId="6F69E1AA" w:rsidR="008B3A22" w:rsidRPr="00CB6697" w:rsidRDefault="008B3A22" w:rsidP="00CB6697">
            <w:pPr>
              <w:pStyle w:val="ListParagraph"/>
              <w:numPr>
                <w:ilvl w:val="0"/>
                <w:numId w:val="6"/>
              </w:numPr>
              <w:spacing w:after="120" w:line="240" w:lineRule="auto"/>
              <w:rPr>
                <w:rFonts w:asciiTheme="majorHAnsi" w:hAnsiTheme="majorHAnsi" w:cstheme="majorHAnsi"/>
                <w:sz w:val="20"/>
                <w:szCs w:val="20"/>
              </w:rPr>
            </w:pPr>
            <w:r w:rsidRPr="00CB6697">
              <w:rPr>
                <w:rFonts w:asciiTheme="majorHAnsi" w:hAnsiTheme="majorHAnsi" w:cstheme="majorHAnsi"/>
                <w:sz w:val="20"/>
                <w:szCs w:val="20"/>
              </w:rPr>
              <w:t>Suspected cancer: recognition and referral, NICE, 2015 (</w:t>
            </w:r>
            <w:hyperlink r:id="rId13" w:history="1">
              <w:r w:rsidRPr="00CB6697">
                <w:rPr>
                  <w:rStyle w:val="Hyperlink"/>
                  <w:rFonts w:asciiTheme="majorHAnsi" w:hAnsiTheme="majorHAnsi" w:cstheme="majorHAnsi"/>
                  <w:sz w:val="20"/>
                  <w:szCs w:val="20"/>
                </w:rPr>
                <w:t>https://www.nice.org.uk/guidance/ng12</w:t>
              </w:r>
            </w:hyperlink>
            <w:r w:rsidRPr="00CB6697">
              <w:rPr>
                <w:rFonts w:asciiTheme="majorHAnsi" w:hAnsiTheme="majorHAnsi" w:cstheme="majorHAnsi"/>
                <w:sz w:val="20"/>
                <w:szCs w:val="20"/>
              </w:rPr>
              <w:t>).</w:t>
            </w:r>
          </w:p>
          <w:p w14:paraId="774176F2" w14:textId="2016FB28" w:rsidR="008B3A22" w:rsidRPr="00CB6697" w:rsidRDefault="006578ED" w:rsidP="00CB6697">
            <w:pPr>
              <w:pStyle w:val="ListParagraph"/>
              <w:numPr>
                <w:ilvl w:val="0"/>
                <w:numId w:val="6"/>
              </w:numPr>
              <w:spacing w:after="120" w:line="240" w:lineRule="auto"/>
              <w:rPr>
                <w:rFonts w:asciiTheme="majorHAnsi" w:hAnsiTheme="majorHAnsi" w:cstheme="majorHAnsi"/>
                <w:sz w:val="20"/>
                <w:szCs w:val="20"/>
              </w:rPr>
            </w:pPr>
            <w:hyperlink r:id="rId14" w:history="1">
              <w:proofErr w:type="spellStart"/>
              <w:r w:rsidR="008B3A22" w:rsidRPr="00CB6697">
                <w:rPr>
                  <w:rStyle w:val="Hyperlink"/>
                  <w:rFonts w:asciiTheme="majorHAnsi" w:hAnsiTheme="majorHAnsi" w:cstheme="majorHAnsi"/>
                  <w:sz w:val="20"/>
                  <w:szCs w:val="20"/>
                </w:rPr>
                <w:t>Dangoor</w:t>
              </w:r>
              <w:proofErr w:type="spellEnd"/>
              <w:r w:rsidR="008B3A22" w:rsidRPr="00CB6697">
                <w:rPr>
                  <w:rStyle w:val="Hyperlink"/>
                  <w:rFonts w:asciiTheme="majorHAnsi" w:hAnsiTheme="majorHAnsi" w:cstheme="majorHAnsi"/>
                  <w:sz w:val="20"/>
                  <w:szCs w:val="20"/>
                </w:rPr>
                <w:t xml:space="preserve"> A, Seddon B, </w:t>
              </w:r>
              <w:proofErr w:type="spellStart"/>
              <w:r w:rsidR="008B3A22" w:rsidRPr="00CB6697">
                <w:rPr>
                  <w:rStyle w:val="Hyperlink"/>
                  <w:rFonts w:asciiTheme="majorHAnsi" w:hAnsiTheme="majorHAnsi" w:cstheme="majorHAnsi"/>
                  <w:sz w:val="20"/>
                  <w:szCs w:val="20"/>
                </w:rPr>
                <w:t>Gerrand</w:t>
              </w:r>
              <w:proofErr w:type="spellEnd"/>
              <w:r w:rsidR="008B3A22" w:rsidRPr="00CB6697">
                <w:rPr>
                  <w:rStyle w:val="Hyperlink"/>
                  <w:rFonts w:asciiTheme="majorHAnsi" w:hAnsiTheme="majorHAnsi" w:cstheme="majorHAnsi"/>
                  <w:sz w:val="20"/>
                  <w:szCs w:val="20"/>
                </w:rPr>
                <w:t xml:space="preserve"> C, </w:t>
              </w:r>
              <w:proofErr w:type="spellStart"/>
              <w:r w:rsidR="008B3A22" w:rsidRPr="00CB6697">
                <w:rPr>
                  <w:rStyle w:val="Hyperlink"/>
                  <w:rFonts w:asciiTheme="majorHAnsi" w:hAnsiTheme="majorHAnsi" w:cstheme="majorHAnsi"/>
                  <w:sz w:val="20"/>
                  <w:szCs w:val="20"/>
                </w:rPr>
                <w:t>Grimer</w:t>
              </w:r>
              <w:proofErr w:type="spellEnd"/>
              <w:r w:rsidR="008B3A22" w:rsidRPr="00CB6697">
                <w:rPr>
                  <w:rStyle w:val="Hyperlink"/>
                  <w:rFonts w:asciiTheme="majorHAnsi" w:hAnsiTheme="majorHAnsi" w:cstheme="majorHAnsi"/>
                  <w:sz w:val="20"/>
                  <w:szCs w:val="20"/>
                </w:rPr>
                <w:t xml:space="preserve"> R, Whelan J, Judson I. UK guidelines for the management of soft tissue sarcomas. Clin Sarcoma Res. 2016 Nov </w:t>
              </w:r>
              <w:proofErr w:type="gramStart"/>
              <w:r w:rsidR="008B3A22" w:rsidRPr="00CB6697">
                <w:rPr>
                  <w:rStyle w:val="Hyperlink"/>
                  <w:rFonts w:asciiTheme="majorHAnsi" w:hAnsiTheme="majorHAnsi" w:cstheme="majorHAnsi"/>
                  <w:sz w:val="20"/>
                  <w:szCs w:val="20"/>
                </w:rPr>
                <w:t>15;6:20</w:t>
              </w:r>
              <w:proofErr w:type="gramEnd"/>
              <w:r w:rsidR="008B3A22" w:rsidRPr="00CB6697">
                <w:rPr>
                  <w:rStyle w:val="Hyperlink"/>
                  <w:rFonts w:asciiTheme="majorHAnsi" w:hAnsiTheme="majorHAnsi" w:cstheme="majorHAnsi"/>
                  <w:sz w:val="20"/>
                  <w:szCs w:val="20"/>
                </w:rPr>
                <w:t>. doi: 10.1186/s13569-016-0060-4. PMID: 27891213; PMCID: PMC5109663.</w:t>
              </w:r>
            </w:hyperlink>
          </w:p>
          <w:p w14:paraId="257D1707" w14:textId="6450E342" w:rsidR="008B3A22" w:rsidRPr="00CB6697" w:rsidRDefault="006578ED" w:rsidP="00CB6697">
            <w:pPr>
              <w:pStyle w:val="ListParagraph"/>
              <w:numPr>
                <w:ilvl w:val="0"/>
                <w:numId w:val="6"/>
              </w:numPr>
              <w:spacing w:after="120" w:line="240" w:lineRule="auto"/>
              <w:rPr>
                <w:rFonts w:asciiTheme="majorHAnsi" w:hAnsiTheme="majorHAnsi" w:cstheme="majorHAnsi"/>
                <w:sz w:val="20"/>
                <w:szCs w:val="20"/>
              </w:rPr>
            </w:pPr>
            <w:hyperlink r:id="rId15" w:history="1">
              <w:proofErr w:type="spellStart"/>
              <w:r w:rsidR="008B3A22" w:rsidRPr="00CB6697">
                <w:rPr>
                  <w:rStyle w:val="Hyperlink"/>
                  <w:rFonts w:asciiTheme="majorHAnsi" w:hAnsiTheme="majorHAnsi" w:cstheme="majorHAnsi"/>
                  <w:sz w:val="20"/>
                  <w:szCs w:val="20"/>
                </w:rPr>
                <w:t>Gerrand</w:t>
              </w:r>
              <w:proofErr w:type="spellEnd"/>
              <w:r w:rsidR="008B3A22" w:rsidRPr="00CB6697">
                <w:rPr>
                  <w:rStyle w:val="Hyperlink"/>
                  <w:rFonts w:asciiTheme="majorHAnsi" w:hAnsiTheme="majorHAnsi" w:cstheme="majorHAnsi"/>
                  <w:sz w:val="20"/>
                  <w:szCs w:val="20"/>
                </w:rPr>
                <w:t xml:space="preserve"> C, </w:t>
              </w:r>
              <w:proofErr w:type="spellStart"/>
              <w:r w:rsidR="008B3A22" w:rsidRPr="00CB6697">
                <w:rPr>
                  <w:rStyle w:val="Hyperlink"/>
                  <w:rFonts w:asciiTheme="majorHAnsi" w:hAnsiTheme="majorHAnsi" w:cstheme="majorHAnsi"/>
                  <w:sz w:val="20"/>
                  <w:szCs w:val="20"/>
                </w:rPr>
                <w:t>Athanasou</w:t>
              </w:r>
              <w:proofErr w:type="spellEnd"/>
              <w:r w:rsidR="008B3A22" w:rsidRPr="00CB6697">
                <w:rPr>
                  <w:rStyle w:val="Hyperlink"/>
                  <w:rFonts w:asciiTheme="majorHAnsi" w:hAnsiTheme="majorHAnsi" w:cstheme="majorHAnsi"/>
                  <w:sz w:val="20"/>
                  <w:szCs w:val="20"/>
                </w:rPr>
                <w:t xml:space="preserve"> N, Brennan B, </w:t>
              </w:r>
              <w:proofErr w:type="spellStart"/>
              <w:r w:rsidR="008B3A22" w:rsidRPr="00CB6697">
                <w:rPr>
                  <w:rStyle w:val="Hyperlink"/>
                  <w:rFonts w:asciiTheme="majorHAnsi" w:hAnsiTheme="majorHAnsi" w:cstheme="majorHAnsi"/>
                  <w:sz w:val="20"/>
                  <w:szCs w:val="20"/>
                </w:rPr>
                <w:t>Grimer</w:t>
              </w:r>
              <w:proofErr w:type="spellEnd"/>
              <w:r w:rsidR="008B3A22" w:rsidRPr="00CB6697">
                <w:rPr>
                  <w:rStyle w:val="Hyperlink"/>
                  <w:rFonts w:asciiTheme="majorHAnsi" w:hAnsiTheme="majorHAnsi" w:cstheme="majorHAnsi"/>
                  <w:sz w:val="20"/>
                  <w:szCs w:val="20"/>
                </w:rPr>
                <w:t xml:space="preserve"> R, Judson I, Morland B, Peake D, Seddon B, Whelan J; British Sarcoma Group. UK guidelines for the management of bone sarcomas. Clin Sarcoma Res. 2016 May </w:t>
              </w:r>
              <w:proofErr w:type="gramStart"/>
              <w:r w:rsidR="008B3A22" w:rsidRPr="00CB6697">
                <w:rPr>
                  <w:rStyle w:val="Hyperlink"/>
                  <w:rFonts w:asciiTheme="majorHAnsi" w:hAnsiTheme="majorHAnsi" w:cstheme="majorHAnsi"/>
                  <w:sz w:val="20"/>
                  <w:szCs w:val="20"/>
                </w:rPr>
                <w:t>4;6:7</w:t>
              </w:r>
              <w:proofErr w:type="gramEnd"/>
              <w:r w:rsidR="008B3A22" w:rsidRPr="00CB6697">
                <w:rPr>
                  <w:rStyle w:val="Hyperlink"/>
                  <w:rFonts w:asciiTheme="majorHAnsi" w:hAnsiTheme="majorHAnsi" w:cstheme="majorHAnsi"/>
                  <w:sz w:val="20"/>
                  <w:szCs w:val="20"/>
                </w:rPr>
                <w:t>. doi: 10.1186/s13569-016-0047-1. PMID: 27148438; PMCI</w:t>
              </w:r>
            </w:hyperlink>
          </w:p>
          <w:p w14:paraId="4AE93DC9" w14:textId="5416B44E" w:rsidR="008B3A22" w:rsidRPr="00B7034B" w:rsidRDefault="006578ED" w:rsidP="00CB6697">
            <w:pPr>
              <w:pStyle w:val="ListParagraph"/>
              <w:numPr>
                <w:ilvl w:val="0"/>
                <w:numId w:val="6"/>
              </w:numPr>
              <w:spacing w:after="120" w:line="240" w:lineRule="auto"/>
              <w:rPr>
                <w:rStyle w:val="Hyperlink"/>
                <w:rFonts w:asciiTheme="majorHAnsi" w:hAnsiTheme="majorHAnsi" w:cstheme="majorHAnsi"/>
                <w:color w:val="auto"/>
                <w:sz w:val="20"/>
                <w:szCs w:val="20"/>
                <w:u w:val="none"/>
              </w:rPr>
            </w:pPr>
            <w:hyperlink r:id="rId16" w:history="1">
              <w:r w:rsidR="008B3A22" w:rsidRPr="00CB6697">
                <w:rPr>
                  <w:rStyle w:val="Hyperlink"/>
                  <w:rFonts w:asciiTheme="majorHAnsi" w:hAnsiTheme="majorHAnsi" w:cstheme="majorHAnsi"/>
                  <w:sz w:val="20"/>
                  <w:szCs w:val="20"/>
                </w:rPr>
                <w:t>Yeung CA. Scottish referral guidelines for suspected cancer. Br Dent J. 2019 Apr;226(7):472-473. doi: 10.1038/s41415-019-0214-x. PMID: 30979980.</w:t>
              </w:r>
            </w:hyperlink>
          </w:p>
          <w:p w14:paraId="060FFA8B" w14:textId="340FF021" w:rsidR="00B7034B" w:rsidRDefault="000445B4" w:rsidP="00CB6697">
            <w:pPr>
              <w:pStyle w:val="ListParagraph"/>
              <w:numPr>
                <w:ilvl w:val="0"/>
                <w:numId w:val="6"/>
              </w:numPr>
              <w:spacing w:after="120" w:line="240" w:lineRule="auto"/>
              <w:rPr>
                <w:rFonts w:asciiTheme="majorHAnsi" w:hAnsiTheme="majorHAnsi" w:cstheme="majorHAnsi"/>
                <w:sz w:val="20"/>
                <w:szCs w:val="20"/>
              </w:rPr>
            </w:pPr>
            <w:r>
              <w:rPr>
                <w:rFonts w:asciiTheme="majorHAnsi" w:hAnsiTheme="majorHAnsi" w:cstheme="majorHAnsi"/>
                <w:sz w:val="20"/>
                <w:szCs w:val="20"/>
              </w:rPr>
              <w:lastRenderedPageBreak/>
              <w:t xml:space="preserve">Johnson GD, et al. Delays in Referral of Soft Tissue Sarcomas. Sarcoma 2008; </w:t>
            </w:r>
            <w:r w:rsidRPr="000445B4">
              <w:rPr>
                <w:rFonts w:asciiTheme="majorHAnsi" w:hAnsiTheme="majorHAnsi" w:cstheme="majorHAnsi"/>
                <w:sz w:val="20"/>
                <w:szCs w:val="20"/>
              </w:rPr>
              <w:t>﻿</w:t>
            </w:r>
            <w:r>
              <w:rPr>
                <w:rFonts w:asciiTheme="majorHAnsi" w:hAnsiTheme="majorHAnsi" w:cstheme="majorHAnsi"/>
                <w:sz w:val="20"/>
                <w:szCs w:val="20"/>
              </w:rPr>
              <w:t>Doi:</w:t>
            </w:r>
            <w:r w:rsidRPr="000445B4">
              <w:rPr>
                <w:rFonts w:asciiTheme="majorHAnsi" w:hAnsiTheme="majorHAnsi" w:cstheme="majorHAnsi"/>
                <w:sz w:val="20"/>
                <w:szCs w:val="20"/>
              </w:rPr>
              <w:t>10.1155/2008/378574</w:t>
            </w:r>
          </w:p>
          <w:p w14:paraId="021662E6" w14:textId="221E1709" w:rsidR="000445B4" w:rsidRPr="000445B4" w:rsidRDefault="000445B4" w:rsidP="000445B4">
            <w:pPr>
              <w:pStyle w:val="ListParagraph"/>
              <w:numPr>
                <w:ilvl w:val="0"/>
                <w:numId w:val="6"/>
              </w:numPr>
              <w:spacing w:after="120" w:line="240" w:lineRule="auto"/>
              <w:rPr>
                <w:rFonts w:asciiTheme="majorHAnsi" w:hAnsiTheme="majorHAnsi" w:cstheme="majorHAnsi"/>
                <w:sz w:val="20"/>
                <w:szCs w:val="20"/>
              </w:rPr>
            </w:pPr>
            <w:r>
              <w:rPr>
                <w:rFonts w:asciiTheme="majorHAnsi" w:hAnsiTheme="majorHAnsi" w:cstheme="majorHAnsi"/>
                <w:sz w:val="20"/>
                <w:szCs w:val="20"/>
              </w:rPr>
              <w:t xml:space="preserve">Smith GM, et al. </w:t>
            </w:r>
            <w:r w:rsidRPr="000445B4">
              <w:rPr>
                <w:rFonts w:asciiTheme="majorHAnsi" w:hAnsiTheme="majorHAnsi" w:cstheme="majorHAnsi"/>
                <w:sz w:val="20"/>
                <w:szCs w:val="20"/>
              </w:rPr>
              <w:t>﻿Trends in presentation of bone and soft tissue sarcomas over 25 years: little evidence of earlier diagnosis</w:t>
            </w:r>
            <w:r>
              <w:rPr>
                <w:rFonts w:asciiTheme="majorHAnsi" w:hAnsiTheme="majorHAnsi" w:cstheme="majorHAnsi"/>
                <w:sz w:val="20"/>
                <w:szCs w:val="20"/>
              </w:rPr>
              <w:t xml:space="preserve">. </w:t>
            </w:r>
            <w:r w:rsidRPr="000445B4">
              <w:rPr>
                <w:rFonts w:asciiTheme="majorHAnsi" w:hAnsiTheme="majorHAnsi" w:cstheme="majorHAnsi"/>
                <w:sz w:val="20"/>
                <w:szCs w:val="20"/>
              </w:rPr>
              <w:t xml:space="preserve">﻿Ann R Coll </w:t>
            </w:r>
            <w:proofErr w:type="spellStart"/>
            <w:r w:rsidRPr="000445B4">
              <w:rPr>
                <w:rFonts w:asciiTheme="majorHAnsi" w:hAnsiTheme="majorHAnsi" w:cstheme="majorHAnsi"/>
                <w:sz w:val="20"/>
                <w:szCs w:val="20"/>
              </w:rPr>
              <w:t>Surg</w:t>
            </w:r>
            <w:proofErr w:type="spellEnd"/>
            <w:r w:rsidRPr="000445B4">
              <w:rPr>
                <w:rFonts w:asciiTheme="majorHAnsi" w:hAnsiTheme="majorHAnsi" w:cstheme="majorHAnsi"/>
                <w:sz w:val="20"/>
                <w:szCs w:val="20"/>
              </w:rPr>
              <w:t xml:space="preserve"> </w:t>
            </w:r>
            <w:proofErr w:type="spellStart"/>
            <w:r w:rsidRPr="000445B4">
              <w:rPr>
                <w:rFonts w:asciiTheme="majorHAnsi" w:hAnsiTheme="majorHAnsi" w:cstheme="majorHAnsi"/>
                <w:sz w:val="20"/>
                <w:szCs w:val="20"/>
              </w:rPr>
              <w:t>Engl</w:t>
            </w:r>
            <w:proofErr w:type="spellEnd"/>
            <w:r w:rsidRPr="000445B4">
              <w:rPr>
                <w:rFonts w:asciiTheme="majorHAnsi" w:hAnsiTheme="majorHAnsi" w:cstheme="majorHAnsi"/>
                <w:sz w:val="20"/>
                <w:szCs w:val="20"/>
              </w:rPr>
              <w:t xml:space="preserve"> 2011; 93: 542–547 doi 10.1308/147870811X13137608455055</w:t>
            </w:r>
            <w:r>
              <w:rPr>
                <w:rFonts w:asciiTheme="majorHAnsi" w:hAnsiTheme="majorHAnsi" w:cstheme="majorHAnsi"/>
                <w:sz w:val="20"/>
                <w:szCs w:val="20"/>
              </w:rPr>
              <w:t>.</w:t>
            </w:r>
          </w:p>
          <w:p w14:paraId="627BE306" w14:textId="11D83302" w:rsidR="000445B4" w:rsidRDefault="0099350A" w:rsidP="000445B4">
            <w:pPr>
              <w:pStyle w:val="ListParagraph"/>
              <w:numPr>
                <w:ilvl w:val="0"/>
                <w:numId w:val="6"/>
              </w:numPr>
              <w:spacing w:after="120" w:line="240" w:lineRule="auto"/>
              <w:rPr>
                <w:rFonts w:asciiTheme="majorHAnsi" w:hAnsiTheme="majorHAnsi" w:cstheme="majorHAnsi"/>
                <w:sz w:val="20"/>
                <w:szCs w:val="20"/>
              </w:rPr>
            </w:pPr>
            <w:proofErr w:type="spellStart"/>
            <w:r>
              <w:rPr>
                <w:rFonts w:asciiTheme="majorHAnsi" w:hAnsiTheme="majorHAnsi" w:cstheme="majorHAnsi"/>
                <w:sz w:val="20"/>
                <w:szCs w:val="20"/>
              </w:rPr>
              <w:t>Lawrenz</w:t>
            </w:r>
            <w:proofErr w:type="spellEnd"/>
            <w:r>
              <w:rPr>
                <w:rFonts w:asciiTheme="majorHAnsi" w:hAnsiTheme="majorHAnsi" w:cstheme="majorHAnsi"/>
                <w:sz w:val="20"/>
                <w:szCs w:val="20"/>
              </w:rPr>
              <w:t xml:space="preserve"> JM, et al. </w:t>
            </w:r>
            <w:r w:rsidRPr="0099350A">
              <w:rPr>
                <w:rFonts w:asciiTheme="majorHAnsi" w:hAnsiTheme="majorHAnsi" w:cstheme="majorHAnsi"/>
                <w:sz w:val="20"/>
                <w:szCs w:val="20"/>
              </w:rPr>
              <w:t>﻿Time to Treatment Initiation and Survival in Adult Localized High-Grade Bone Sarcoma</w:t>
            </w:r>
            <w:r>
              <w:rPr>
                <w:rFonts w:asciiTheme="majorHAnsi" w:hAnsiTheme="majorHAnsi" w:cstheme="majorHAnsi"/>
                <w:sz w:val="20"/>
                <w:szCs w:val="20"/>
              </w:rPr>
              <w:t xml:space="preserve">. </w:t>
            </w:r>
            <w:r w:rsidRPr="0099350A">
              <w:rPr>
                <w:rFonts w:asciiTheme="majorHAnsi" w:hAnsiTheme="majorHAnsi" w:cstheme="majorHAnsi"/>
                <w:sz w:val="20"/>
                <w:szCs w:val="20"/>
              </w:rPr>
              <w:t xml:space="preserve">﻿Sarcoma </w:t>
            </w:r>
            <w:r>
              <w:rPr>
                <w:rFonts w:asciiTheme="majorHAnsi" w:hAnsiTheme="majorHAnsi" w:cstheme="majorHAnsi"/>
                <w:sz w:val="20"/>
                <w:szCs w:val="20"/>
              </w:rPr>
              <w:t xml:space="preserve">2020 </w:t>
            </w:r>
            <w:r w:rsidRPr="0099350A">
              <w:rPr>
                <w:rFonts w:asciiTheme="majorHAnsi" w:hAnsiTheme="majorHAnsi" w:cstheme="majorHAnsi"/>
                <w:sz w:val="20"/>
                <w:szCs w:val="20"/>
              </w:rPr>
              <w:t>doi.org/10.1155/2020/2984043</w:t>
            </w:r>
          </w:p>
          <w:p w14:paraId="2E2993DE" w14:textId="25E50E63" w:rsidR="0099350A" w:rsidRPr="0014653F" w:rsidRDefault="0099350A" w:rsidP="0014653F">
            <w:pPr>
              <w:pStyle w:val="ListParagraph"/>
              <w:numPr>
                <w:ilvl w:val="0"/>
                <w:numId w:val="6"/>
              </w:numPr>
              <w:spacing w:after="120" w:line="240" w:lineRule="auto"/>
              <w:rPr>
                <w:rFonts w:asciiTheme="majorHAnsi" w:hAnsiTheme="majorHAnsi" w:cstheme="majorHAnsi"/>
                <w:sz w:val="20"/>
                <w:szCs w:val="20"/>
              </w:rPr>
            </w:pPr>
            <w:r w:rsidRPr="0099350A">
              <w:rPr>
                <w:rFonts w:asciiTheme="majorHAnsi" w:hAnsiTheme="majorHAnsi" w:cstheme="majorHAnsi"/>
                <w:sz w:val="20"/>
                <w:szCs w:val="20"/>
              </w:rPr>
              <w:t>Nakamura T</w:t>
            </w:r>
            <w:r w:rsidR="0014653F">
              <w:rPr>
                <w:rFonts w:asciiTheme="majorHAnsi" w:hAnsiTheme="majorHAnsi" w:cstheme="majorHAnsi"/>
                <w:sz w:val="20"/>
                <w:szCs w:val="20"/>
              </w:rPr>
              <w:t xml:space="preserve">, et al. </w:t>
            </w:r>
            <w:r w:rsidRPr="0014653F">
              <w:rPr>
                <w:rFonts w:asciiTheme="majorHAnsi" w:hAnsiTheme="majorHAnsi" w:cstheme="majorHAnsi"/>
                <w:sz w:val="20"/>
                <w:szCs w:val="20"/>
              </w:rPr>
              <w:t>The symptom-to-diagnosis delay in soft tissue sarcoma influence the overall survival and the development of distant metastasis</w:t>
            </w:r>
            <w:r w:rsidR="0014653F">
              <w:rPr>
                <w:rFonts w:asciiTheme="majorHAnsi" w:hAnsiTheme="majorHAnsi" w:cstheme="majorHAnsi"/>
                <w:sz w:val="20"/>
                <w:szCs w:val="20"/>
              </w:rPr>
              <w:t xml:space="preserve">. </w:t>
            </w:r>
            <w:r w:rsidR="0014653F" w:rsidRPr="0099350A">
              <w:rPr>
                <w:rFonts w:asciiTheme="majorHAnsi" w:hAnsiTheme="majorHAnsi" w:cstheme="majorHAnsi"/>
                <w:sz w:val="20"/>
                <w:szCs w:val="20"/>
              </w:rPr>
              <w:t>Journal of Surgical Oncology 2011</w:t>
            </w:r>
            <w:r w:rsidR="0014653F">
              <w:rPr>
                <w:rFonts w:asciiTheme="majorHAnsi" w:hAnsiTheme="majorHAnsi" w:cstheme="majorHAnsi"/>
                <w:sz w:val="20"/>
                <w:szCs w:val="20"/>
              </w:rPr>
              <w:t>;</w:t>
            </w:r>
            <w:r w:rsidR="0014653F" w:rsidRPr="0099350A">
              <w:rPr>
                <w:rFonts w:asciiTheme="majorHAnsi" w:hAnsiTheme="majorHAnsi" w:cstheme="majorHAnsi"/>
                <w:sz w:val="20"/>
                <w:szCs w:val="20"/>
              </w:rPr>
              <w:t xml:space="preserve"> 104(7)</w:t>
            </w:r>
            <w:r w:rsidR="0014653F">
              <w:rPr>
                <w:rFonts w:asciiTheme="majorHAnsi" w:hAnsiTheme="majorHAnsi" w:cstheme="majorHAnsi"/>
                <w:sz w:val="20"/>
                <w:szCs w:val="20"/>
              </w:rPr>
              <w:t>:</w:t>
            </w:r>
            <w:r w:rsidR="0014653F" w:rsidRPr="0099350A">
              <w:rPr>
                <w:rFonts w:asciiTheme="majorHAnsi" w:hAnsiTheme="majorHAnsi" w:cstheme="majorHAnsi"/>
                <w:sz w:val="20"/>
                <w:szCs w:val="20"/>
              </w:rPr>
              <w:t xml:space="preserve"> 771-775</w:t>
            </w:r>
            <w:r w:rsidR="0014653F">
              <w:rPr>
                <w:rFonts w:asciiTheme="majorHAnsi" w:hAnsiTheme="majorHAnsi" w:cstheme="majorHAnsi"/>
                <w:sz w:val="20"/>
                <w:szCs w:val="20"/>
              </w:rPr>
              <w:t xml:space="preserve"> </w:t>
            </w:r>
            <w:r w:rsidR="0014653F" w:rsidRPr="0014653F">
              <w:rPr>
                <w:rFonts w:asciiTheme="majorHAnsi" w:hAnsiTheme="majorHAnsi" w:cstheme="majorHAnsi"/>
                <w:sz w:val="20"/>
                <w:szCs w:val="20"/>
              </w:rPr>
              <w:t>DOI: 10.1002/jso.22006</w:t>
            </w:r>
          </w:p>
          <w:p w14:paraId="07E92A5E" w14:textId="70F4247A" w:rsidR="00DE5BCE" w:rsidRPr="00D647B0" w:rsidRDefault="00DE5BCE" w:rsidP="00706F52">
            <w:pPr>
              <w:spacing w:after="120" w:line="240" w:lineRule="auto"/>
              <w:rPr>
                <w:rFonts w:asciiTheme="majorHAnsi" w:eastAsia="Arial" w:hAnsiTheme="majorHAnsi" w:cstheme="majorHAnsi"/>
                <w:sz w:val="20"/>
                <w:szCs w:val="20"/>
              </w:rPr>
            </w:pPr>
          </w:p>
        </w:tc>
      </w:tr>
    </w:tbl>
    <w:p w14:paraId="1B9F03C2" w14:textId="50CA4B92" w:rsidR="00DE5BCE" w:rsidRPr="001452E8" w:rsidRDefault="00DE5BCE">
      <w:pPr>
        <w:pBdr>
          <w:top w:val="nil"/>
          <w:left w:val="nil"/>
          <w:bottom w:val="nil"/>
          <w:right w:val="nil"/>
          <w:between w:val="nil"/>
        </w:pBdr>
        <w:tabs>
          <w:tab w:val="left" w:pos="9630"/>
        </w:tabs>
        <w:spacing w:after="0" w:line="240" w:lineRule="auto"/>
        <w:rPr>
          <w:rFonts w:asciiTheme="majorHAnsi" w:eastAsia="Arial" w:hAnsiTheme="majorHAnsi" w:cstheme="majorHAnsi"/>
          <w:color w:val="000000"/>
          <w:sz w:val="20"/>
          <w:szCs w:val="20"/>
        </w:rPr>
      </w:pPr>
    </w:p>
    <w:tbl>
      <w:tblPr>
        <w:tblStyle w:val="3"/>
        <w:tblW w:w="10068"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0068"/>
      </w:tblGrid>
      <w:tr w:rsidR="00DE5BCE" w:rsidRPr="001452E8" w14:paraId="24D46411" w14:textId="77777777" w:rsidTr="00706F52">
        <w:trPr>
          <w:trHeight w:val="928"/>
          <w:jc w:val="center"/>
        </w:trPr>
        <w:tc>
          <w:tcPr>
            <w:tcW w:w="10068" w:type="dxa"/>
            <w:tcBorders>
              <w:top w:val="single" w:sz="4" w:space="0" w:color="000000"/>
              <w:left w:val="single" w:sz="4" w:space="0" w:color="000000"/>
              <w:bottom w:val="single" w:sz="4" w:space="0" w:color="000000"/>
              <w:right w:val="single" w:sz="4" w:space="0" w:color="000000"/>
            </w:tcBorders>
            <w:vAlign w:val="center"/>
          </w:tcPr>
          <w:p w14:paraId="3E5FF89A" w14:textId="77777777" w:rsidR="00DE5BCE" w:rsidRPr="001452E8" w:rsidRDefault="00E00CED" w:rsidP="00706F52">
            <w:pPr>
              <w:spacing w:after="120" w:line="240" w:lineRule="auto"/>
              <w:rPr>
                <w:rFonts w:asciiTheme="majorHAnsi" w:eastAsia="Arial" w:hAnsiTheme="majorHAnsi" w:cstheme="majorHAnsi"/>
                <w:b/>
                <w:sz w:val="20"/>
                <w:szCs w:val="20"/>
              </w:rPr>
            </w:pPr>
            <w:r w:rsidRPr="001452E8">
              <w:rPr>
                <w:rFonts w:asciiTheme="majorHAnsi" w:eastAsia="Arial" w:hAnsiTheme="majorHAnsi" w:cstheme="majorHAnsi"/>
                <w:b/>
                <w:sz w:val="20"/>
                <w:szCs w:val="20"/>
              </w:rPr>
              <w:t>Aims &amp; Objectives</w:t>
            </w:r>
          </w:p>
          <w:p w14:paraId="40C6C730" w14:textId="059FEAEA" w:rsidR="00DE5BCE" w:rsidRPr="001452E8" w:rsidRDefault="00EB54E8" w:rsidP="00EB54E8">
            <w:pPr>
              <w:pStyle w:val="ListParagraph"/>
              <w:numPr>
                <w:ilvl w:val="0"/>
                <w:numId w:val="10"/>
              </w:numPr>
              <w:rPr>
                <w:rFonts w:asciiTheme="majorHAnsi" w:hAnsiTheme="majorHAnsi" w:cstheme="majorHAnsi"/>
              </w:rPr>
            </w:pPr>
            <w:bookmarkStart w:id="0" w:name="_heading=h.gjdgxs" w:colFirst="0" w:colLast="0"/>
            <w:bookmarkEnd w:id="0"/>
            <w:r w:rsidRPr="001452E8">
              <w:rPr>
                <w:rFonts w:asciiTheme="majorHAnsi" w:hAnsiTheme="majorHAnsi" w:cstheme="majorHAnsi"/>
              </w:rPr>
              <w:t>To assess compliance with BSG, NICE &amp; Scottish referral guidelines for suspected cancer in the UK for pelvic &amp; appendicular sarcomas.</w:t>
            </w:r>
          </w:p>
        </w:tc>
      </w:tr>
    </w:tbl>
    <w:p w14:paraId="030F9BAC" w14:textId="77777777" w:rsidR="00DE5BCE" w:rsidRPr="00D647B0" w:rsidRDefault="00DE5BCE">
      <w:pPr>
        <w:rPr>
          <w:rFonts w:asciiTheme="majorHAnsi" w:eastAsia="Arial" w:hAnsiTheme="majorHAnsi" w:cstheme="majorHAnsi"/>
          <w:sz w:val="20"/>
          <w:szCs w:val="20"/>
        </w:rPr>
      </w:pPr>
    </w:p>
    <w:p w14:paraId="08D3D181" w14:textId="71C352F5" w:rsidR="00DE5BCE" w:rsidRPr="00D647B0" w:rsidRDefault="00DE5BCE">
      <w:pPr>
        <w:widowControl w:val="0"/>
        <w:pBdr>
          <w:top w:val="nil"/>
          <w:left w:val="nil"/>
          <w:bottom w:val="nil"/>
          <w:right w:val="nil"/>
          <w:between w:val="nil"/>
        </w:pBdr>
        <w:spacing w:after="0" w:line="276" w:lineRule="auto"/>
        <w:rPr>
          <w:rFonts w:asciiTheme="majorHAnsi" w:eastAsia="Arial" w:hAnsiTheme="majorHAnsi" w:cstheme="majorHAnsi"/>
          <w:sz w:val="20"/>
          <w:szCs w:val="20"/>
        </w:rPr>
        <w:sectPr w:rsidR="00DE5BCE" w:rsidRPr="00D647B0">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1"/>
          <w:cols w:space="720" w:equalWidth="0">
            <w:col w:w="9360"/>
          </w:cols>
        </w:sectPr>
      </w:pPr>
    </w:p>
    <w:p w14:paraId="4F9E5EEB" w14:textId="77777777" w:rsidR="00706F52" w:rsidRDefault="00706F52">
      <w:pPr>
        <w:rPr>
          <w:rFonts w:asciiTheme="majorHAnsi" w:eastAsia="Arial" w:hAnsiTheme="majorHAnsi" w:cstheme="majorHAnsi"/>
          <w:b/>
          <w:color w:val="000000"/>
          <w:sz w:val="18"/>
          <w:szCs w:val="18"/>
          <w:u w:val="single"/>
        </w:rPr>
      </w:pPr>
      <w:r>
        <w:rPr>
          <w:rFonts w:asciiTheme="majorHAnsi" w:eastAsia="Arial" w:hAnsiTheme="majorHAnsi" w:cstheme="majorHAnsi"/>
          <w:b/>
          <w:color w:val="000000"/>
          <w:sz w:val="18"/>
          <w:szCs w:val="18"/>
          <w:u w:val="single"/>
        </w:rPr>
        <w:br w:type="page"/>
      </w:r>
    </w:p>
    <w:p w14:paraId="4119084C" w14:textId="1F8F1827" w:rsidR="00DE5BCE" w:rsidRPr="00706F52" w:rsidRDefault="00E00CED">
      <w:pPr>
        <w:pBdr>
          <w:top w:val="nil"/>
          <w:left w:val="nil"/>
          <w:bottom w:val="nil"/>
          <w:right w:val="nil"/>
          <w:between w:val="nil"/>
        </w:pBdr>
        <w:spacing w:after="0" w:line="240" w:lineRule="auto"/>
        <w:jc w:val="center"/>
        <w:rPr>
          <w:rFonts w:asciiTheme="majorHAnsi" w:eastAsia="Arial" w:hAnsiTheme="majorHAnsi" w:cstheme="majorHAnsi"/>
          <w:b/>
          <w:color w:val="000000"/>
          <w:sz w:val="28"/>
          <w:szCs w:val="28"/>
          <w:u w:val="single"/>
        </w:rPr>
      </w:pPr>
      <w:r w:rsidRPr="00706F52">
        <w:rPr>
          <w:rFonts w:asciiTheme="majorHAnsi" w:eastAsia="Arial" w:hAnsiTheme="majorHAnsi" w:cstheme="majorHAnsi"/>
          <w:b/>
          <w:color w:val="000000"/>
          <w:sz w:val="28"/>
          <w:szCs w:val="28"/>
          <w:u w:val="single"/>
        </w:rPr>
        <w:lastRenderedPageBreak/>
        <w:t>STANDARDS</w:t>
      </w:r>
    </w:p>
    <w:p w14:paraId="3D4AD514" w14:textId="77777777" w:rsidR="00D647B0" w:rsidRPr="00706F52" w:rsidRDefault="00D647B0">
      <w:pPr>
        <w:pBdr>
          <w:top w:val="nil"/>
          <w:left w:val="nil"/>
          <w:bottom w:val="nil"/>
          <w:right w:val="nil"/>
          <w:between w:val="nil"/>
        </w:pBdr>
        <w:spacing w:after="0" w:line="240" w:lineRule="auto"/>
        <w:jc w:val="center"/>
        <w:rPr>
          <w:rFonts w:asciiTheme="majorHAnsi" w:eastAsia="Arial" w:hAnsiTheme="majorHAnsi" w:cstheme="majorHAnsi"/>
          <w:b/>
          <w:color w:val="000000"/>
          <w:sz w:val="20"/>
          <w:szCs w:val="20"/>
          <w:u w:val="single"/>
        </w:rPr>
      </w:pPr>
    </w:p>
    <w:p w14:paraId="7860328C" w14:textId="77777777" w:rsidR="00DE5BCE" w:rsidRPr="00706F52" w:rsidRDefault="00E00CED">
      <w:pPr>
        <w:pBdr>
          <w:top w:val="nil"/>
          <w:left w:val="nil"/>
          <w:bottom w:val="nil"/>
          <w:right w:val="nil"/>
          <w:between w:val="nil"/>
        </w:pBdr>
        <w:spacing w:after="0" w:line="240" w:lineRule="auto"/>
        <w:jc w:val="both"/>
        <w:rPr>
          <w:rFonts w:asciiTheme="majorHAnsi" w:eastAsia="Arial" w:hAnsiTheme="majorHAnsi" w:cstheme="majorHAnsi"/>
          <w:b/>
          <w:color w:val="000000"/>
          <w:sz w:val="20"/>
          <w:szCs w:val="20"/>
          <w:u w:val="single"/>
        </w:rPr>
      </w:pPr>
      <w:r w:rsidRPr="00706F52">
        <w:rPr>
          <w:rFonts w:asciiTheme="majorHAnsi" w:eastAsia="Arial" w:hAnsiTheme="majorHAnsi" w:cstheme="majorHAnsi"/>
          <w:color w:val="000000"/>
          <w:sz w:val="20"/>
          <w:szCs w:val="20"/>
        </w:rPr>
        <w:t>Clinical audit measures clinical care provided against criteria identified from evidence of best practice (often incorporated into local or national guidelines/protocols). You should ensure staff delivering this care agree that these audit standards represent best practice, to avoid later debate about what the results show and whether practice needs changing.</w:t>
      </w:r>
    </w:p>
    <w:p w14:paraId="591D5CEB" w14:textId="77777777" w:rsidR="00DE5BCE" w:rsidRPr="00706F52" w:rsidRDefault="00DE5BCE">
      <w:pPr>
        <w:pBdr>
          <w:top w:val="nil"/>
          <w:left w:val="nil"/>
          <w:bottom w:val="nil"/>
          <w:right w:val="nil"/>
          <w:between w:val="nil"/>
        </w:pBdr>
        <w:spacing w:after="0" w:line="240" w:lineRule="auto"/>
        <w:jc w:val="center"/>
        <w:rPr>
          <w:rFonts w:asciiTheme="majorHAnsi" w:eastAsia="Arial" w:hAnsiTheme="majorHAnsi" w:cstheme="majorHAnsi"/>
          <w:b/>
          <w:sz w:val="20"/>
          <w:szCs w:val="20"/>
          <w:u w:val="single"/>
        </w:rPr>
      </w:pPr>
    </w:p>
    <w:p w14:paraId="56829077" w14:textId="77777777" w:rsidR="00DE5BCE" w:rsidRPr="00706F52" w:rsidRDefault="00DE5BCE">
      <w:pPr>
        <w:pBdr>
          <w:top w:val="nil"/>
          <w:left w:val="nil"/>
          <w:bottom w:val="nil"/>
          <w:right w:val="nil"/>
          <w:between w:val="nil"/>
        </w:pBdr>
        <w:spacing w:after="0" w:line="240" w:lineRule="auto"/>
        <w:jc w:val="center"/>
        <w:rPr>
          <w:rFonts w:asciiTheme="majorHAnsi" w:eastAsia="Arial" w:hAnsiTheme="majorHAnsi" w:cstheme="majorHAnsi"/>
          <w:b/>
          <w:sz w:val="20"/>
          <w:szCs w:val="20"/>
          <w:u w:val="single"/>
        </w:rPr>
      </w:pPr>
    </w:p>
    <w:p w14:paraId="21F79FEC" w14:textId="77777777" w:rsidR="009C4161" w:rsidRPr="00CB6697" w:rsidRDefault="009C4161" w:rsidP="009C4161">
      <w:pPr>
        <w:pStyle w:val="ListParagraph"/>
        <w:numPr>
          <w:ilvl w:val="0"/>
          <w:numId w:val="7"/>
        </w:numPr>
        <w:spacing w:after="120" w:line="240" w:lineRule="auto"/>
        <w:rPr>
          <w:rFonts w:asciiTheme="majorHAnsi" w:hAnsiTheme="majorHAnsi" w:cstheme="majorHAnsi"/>
          <w:sz w:val="20"/>
          <w:szCs w:val="20"/>
        </w:rPr>
      </w:pPr>
      <w:r w:rsidRPr="00CB6697">
        <w:rPr>
          <w:rFonts w:asciiTheme="majorHAnsi" w:hAnsiTheme="majorHAnsi" w:cstheme="majorHAnsi"/>
          <w:sz w:val="20"/>
          <w:szCs w:val="20"/>
        </w:rPr>
        <w:t>Suspected cancer: recognition and referral, NICE, 2015 (</w:t>
      </w:r>
      <w:hyperlink r:id="rId23" w:history="1">
        <w:r w:rsidRPr="00CB6697">
          <w:rPr>
            <w:rStyle w:val="Hyperlink"/>
            <w:rFonts w:asciiTheme="majorHAnsi" w:hAnsiTheme="majorHAnsi" w:cstheme="majorHAnsi"/>
            <w:sz w:val="20"/>
            <w:szCs w:val="20"/>
          </w:rPr>
          <w:t>https://www.nice.org.uk/guidance/ng12</w:t>
        </w:r>
      </w:hyperlink>
      <w:r w:rsidRPr="00CB6697">
        <w:rPr>
          <w:rFonts w:asciiTheme="majorHAnsi" w:hAnsiTheme="majorHAnsi" w:cstheme="majorHAnsi"/>
          <w:sz w:val="20"/>
          <w:szCs w:val="20"/>
        </w:rPr>
        <w:t>).</w:t>
      </w:r>
    </w:p>
    <w:p w14:paraId="33BEE36C" w14:textId="77777777" w:rsidR="009C4161" w:rsidRPr="00CB6697" w:rsidRDefault="006578ED" w:rsidP="009C4161">
      <w:pPr>
        <w:pStyle w:val="ListParagraph"/>
        <w:numPr>
          <w:ilvl w:val="0"/>
          <w:numId w:val="7"/>
        </w:numPr>
        <w:spacing w:after="120" w:line="240" w:lineRule="auto"/>
        <w:rPr>
          <w:rFonts w:asciiTheme="majorHAnsi" w:hAnsiTheme="majorHAnsi" w:cstheme="majorHAnsi"/>
          <w:sz w:val="20"/>
          <w:szCs w:val="20"/>
        </w:rPr>
      </w:pPr>
      <w:hyperlink r:id="rId24" w:history="1">
        <w:proofErr w:type="spellStart"/>
        <w:r w:rsidR="009C4161" w:rsidRPr="00CB6697">
          <w:rPr>
            <w:rStyle w:val="Hyperlink"/>
            <w:rFonts w:asciiTheme="majorHAnsi" w:hAnsiTheme="majorHAnsi" w:cstheme="majorHAnsi"/>
            <w:sz w:val="20"/>
            <w:szCs w:val="20"/>
          </w:rPr>
          <w:t>Dangoor</w:t>
        </w:r>
        <w:proofErr w:type="spellEnd"/>
        <w:r w:rsidR="009C4161" w:rsidRPr="00CB6697">
          <w:rPr>
            <w:rStyle w:val="Hyperlink"/>
            <w:rFonts w:asciiTheme="majorHAnsi" w:hAnsiTheme="majorHAnsi" w:cstheme="majorHAnsi"/>
            <w:sz w:val="20"/>
            <w:szCs w:val="20"/>
          </w:rPr>
          <w:t xml:space="preserve"> A, Seddon B, </w:t>
        </w:r>
        <w:proofErr w:type="spellStart"/>
        <w:r w:rsidR="009C4161" w:rsidRPr="00CB6697">
          <w:rPr>
            <w:rStyle w:val="Hyperlink"/>
            <w:rFonts w:asciiTheme="majorHAnsi" w:hAnsiTheme="majorHAnsi" w:cstheme="majorHAnsi"/>
            <w:sz w:val="20"/>
            <w:szCs w:val="20"/>
          </w:rPr>
          <w:t>Gerrand</w:t>
        </w:r>
        <w:proofErr w:type="spellEnd"/>
        <w:r w:rsidR="009C4161" w:rsidRPr="00CB6697">
          <w:rPr>
            <w:rStyle w:val="Hyperlink"/>
            <w:rFonts w:asciiTheme="majorHAnsi" w:hAnsiTheme="majorHAnsi" w:cstheme="majorHAnsi"/>
            <w:sz w:val="20"/>
            <w:szCs w:val="20"/>
          </w:rPr>
          <w:t xml:space="preserve"> C, </w:t>
        </w:r>
        <w:proofErr w:type="spellStart"/>
        <w:r w:rsidR="009C4161" w:rsidRPr="00CB6697">
          <w:rPr>
            <w:rStyle w:val="Hyperlink"/>
            <w:rFonts w:asciiTheme="majorHAnsi" w:hAnsiTheme="majorHAnsi" w:cstheme="majorHAnsi"/>
            <w:sz w:val="20"/>
            <w:szCs w:val="20"/>
          </w:rPr>
          <w:t>Grimer</w:t>
        </w:r>
        <w:proofErr w:type="spellEnd"/>
        <w:r w:rsidR="009C4161" w:rsidRPr="00CB6697">
          <w:rPr>
            <w:rStyle w:val="Hyperlink"/>
            <w:rFonts w:asciiTheme="majorHAnsi" w:hAnsiTheme="majorHAnsi" w:cstheme="majorHAnsi"/>
            <w:sz w:val="20"/>
            <w:szCs w:val="20"/>
          </w:rPr>
          <w:t xml:space="preserve"> R, Whelan J, Judson I. UK guidelines for the management of soft tissue sarcomas. Clin Sarcoma Res. 2016 Nov </w:t>
        </w:r>
        <w:proofErr w:type="gramStart"/>
        <w:r w:rsidR="009C4161" w:rsidRPr="00CB6697">
          <w:rPr>
            <w:rStyle w:val="Hyperlink"/>
            <w:rFonts w:asciiTheme="majorHAnsi" w:hAnsiTheme="majorHAnsi" w:cstheme="majorHAnsi"/>
            <w:sz w:val="20"/>
            <w:szCs w:val="20"/>
          </w:rPr>
          <w:t>15;6:20</w:t>
        </w:r>
        <w:proofErr w:type="gramEnd"/>
        <w:r w:rsidR="009C4161" w:rsidRPr="00CB6697">
          <w:rPr>
            <w:rStyle w:val="Hyperlink"/>
            <w:rFonts w:asciiTheme="majorHAnsi" w:hAnsiTheme="majorHAnsi" w:cstheme="majorHAnsi"/>
            <w:sz w:val="20"/>
            <w:szCs w:val="20"/>
          </w:rPr>
          <w:t>. doi: 10.1186/s13569-016-0060-4. PMID: 27891213; PMCID: PMC5109663.</w:t>
        </w:r>
      </w:hyperlink>
    </w:p>
    <w:p w14:paraId="3D277309" w14:textId="77777777" w:rsidR="009C4161" w:rsidRPr="00CB6697" w:rsidRDefault="006578ED" w:rsidP="009C4161">
      <w:pPr>
        <w:pStyle w:val="ListParagraph"/>
        <w:numPr>
          <w:ilvl w:val="0"/>
          <w:numId w:val="7"/>
        </w:numPr>
        <w:spacing w:after="120" w:line="240" w:lineRule="auto"/>
        <w:rPr>
          <w:rFonts w:asciiTheme="majorHAnsi" w:hAnsiTheme="majorHAnsi" w:cstheme="majorHAnsi"/>
          <w:sz w:val="20"/>
          <w:szCs w:val="20"/>
        </w:rPr>
      </w:pPr>
      <w:hyperlink r:id="rId25" w:history="1">
        <w:proofErr w:type="spellStart"/>
        <w:r w:rsidR="009C4161" w:rsidRPr="00CB6697">
          <w:rPr>
            <w:rStyle w:val="Hyperlink"/>
            <w:rFonts w:asciiTheme="majorHAnsi" w:hAnsiTheme="majorHAnsi" w:cstheme="majorHAnsi"/>
            <w:sz w:val="20"/>
            <w:szCs w:val="20"/>
          </w:rPr>
          <w:t>Gerrand</w:t>
        </w:r>
        <w:proofErr w:type="spellEnd"/>
        <w:r w:rsidR="009C4161" w:rsidRPr="00CB6697">
          <w:rPr>
            <w:rStyle w:val="Hyperlink"/>
            <w:rFonts w:asciiTheme="majorHAnsi" w:hAnsiTheme="majorHAnsi" w:cstheme="majorHAnsi"/>
            <w:sz w:val="20"/>
            <w:szCs w:val="20"/>
          </w:rPr>
          <w:t xml:space="preserve"> C, </w:t>
        </w:r>
        <w:proofErr w:type="spellStart"/>
        <w:r w:rsidR="009C4161" w:rsidRPr="00CB6697">
          <w:rPr>
            <w:rStyle w:val="Hyperlink"/>
            <w:rFonts w:asciiTheme="majorHAnsi" w:hAnsiTheme="majorHAnsi" w:cstheme="majorHAnsi"/>
            <w:sz w:val="20"/>
            <w:szCs w:val="20"/>
          </w:rPr>
          <w:t>Athanasou</w:t>
        </w:r>
        <w:proofErr w:type="spellEnd"/>
        <w:r w:rsidR="009C4161" w:rsidRPr="00CB6697">
          <w:rPr>
            <w:rStyle w:val="Hyperlink"/>
            <w:rFonts w:asciiTheme="majorHAnsi" w:hAnsiTheme="majorHAnsi" w:cstheme="majorHAnsi"/>
            <w:sz w:val="20"/>
            <w:szCs w:val="20"/>
          </w:rPr>
          <w:t xml:space="preserve"> N, Brennan B, </w:t>
        </w:r>
        <w:proofErr w:type="spellStart"/>
        <w:r w:rsidR="009C4161" w:rsidRPr="00CB6697">
          <w:rPr>
            <w:rStyle w:val="Hyperlink"/>
            <w:rFonts w:asciiTheme="majorHAnsi" w:hAnsiTheme="majorHAnsi" w:cstheme="majorHAnsi"/>
            <w:sz w:val="20"/>
            <w:szCs w:val="20"/>
          </w:rPr>
          <w:t>Grimer</w:t>
        </w:r>
        <w:proofErr w:type="spellEnd"/>
        <w:r w:rsidR="009C4161" w:rsidRPr="00CB6697">
          <w:rPr>
            <w:rStyle w:val="Hyperlink"/>
            <w:rFonts w:asciiTheme="majorHAnsi" w:hAnsiTheme="majorHAnsi" w:cstheme="majorHAnsi"/>
            <w:sz w:val="20"/>
            <w:szCs w:val="20"/>
          </w:rPr>
          <w:t xml:space="preserve"> R, Judson I, Morland B, Peake D, Seddon B, Whelan J; British Sarcoma Group. UK guidelines for the management of bone sarcomas. Clin Sarcoma Res. 2016 May </w:t>
        </w:r>
        <w:proofErr w:type="gramStart"/>
        <w:r w:rsidR="009C4161" w:rsidRPr="00CB6697">
          <w:rPr>
            <w:rStyle w:val="Hyperlink"/>
            <w:rFonts w:asciiTheme="majorHAnsi" w:hAnsiTheme="majorHAnsi" w:cstheme="majorHAnsi"/>
            <w:sz w:val="20"/>
            <w:szCs w:val="20"/>
          </w:rPr>
          <w:t>4;6:7</w:t>
        </w:r>
        <w:proofErr w:type="gramEnd"/>
        <w:r w:rsidR="009C4161" w:rsidRPr="00CB6697">
          <w:rPr>
            <w:rStyle w:val="Hyperlink"/>
            <w:rFonts w:asciiTheme="majorHAnsi" w:hAnsiTheme="majorHAnsi" w:cstheme="majorHAnsi"/>
            <w:sz w:val="20"/>
            <w:szCs w:val="20"/>
          </w:rPr>
          <w:t>. doi: 10.1186/s13569-016-0047-1. PMID: 27148438; PMCI</w:t>
        </w:r>
      </w:hyperlink>
    </w:p>
    <w:p w14:paraId="2D750114" w14:textId="77777777" w:rsidR="009C4161" w:rsidRPr="00B7034B" w:rsidRDefault="006578ED" w:rsidP="009C4161">
      <w:pPr>
        <w:pStyle w:val="ListParagraph"/>
        <w:numPr>
          <w:ilvl w:val="0"/>
          <w:numId w:val="7"/>
        </w:numPr>
        <w:spacing w:after="120" w:line="240" w:lineRule="auto"/>
        <w:rPr>
          <w:rStyle w:val="Hyperlink"/>
          <w:rFonts w:asciiTheme="majorHAnsi" w:hAnsiTheme="majorHAnsi" w:cstheme="majorHAnsi"/>
          <w:color w:val="auto"/>
          <w:sz w:val="20"/>
          <w:szCs w:val="20"/>
          <w:u w:val="none"/>
        </w:rPr>
      </w:pPr>
      <w:hyperlink r:id="rId26" w:history="1">
        <w:r w:rsidR="009C4161" w:rsidRPr="00CB6697">
          <w:rPr>
            <w:rStyle w:val="Hyperlink"/>
            <w:rFonts w:asciiTheme="majorHAnsi" w:hAnsiTheme="majorHAnsi" w:cstheme="majorHAnsi"/>
            <w:sz w:val="20"/>
            <w:szCs w:val="20"/>
          </w:rPr>
          <w:t>Yeung CA. Scottish referral guidelines for suspected cancer. Br Dent J. 2019 Apr;226(7):472-473. doi: 10.1038/s41415-019-0214-x. PMID: 30979980.</w:t>
        </w:r>
      </w:hyperlink>
    </w:p>
    <w:p w14:paraId="7F874862" w14:textId="793063BE" w:rsidR="00533BEC" w:rsidRPr="00706F52" w:rsidRDefault="00533BEC">
      <w:pPr>
        <w:spacing w:after="0"/>
        <w:rPr>
          <w:rFonts w:asciiTheme="majorHAnsi" w:eastAsia="Arial" w:hAnsiTheme="majorHAnsi" w:cstheme="majorHAnsi"/>
          <w:sz w:val="20"/>
          <w:szCs w:val="20"/>
        </w:rPr>
      </w:pPr>
    </w:p>
    <w:p w14:paraId="506F7625" w14:textId="77777777" w:rsidR="00533BEC" w:rsidRPr="00706F52" w:rsidRDefault="00533BEC">
      <w:pPr>
        <w:spacing w:after="0"/>
        <w:rPr>
          <w:rFonts w:asciiTheme="majorHAnsi" w:eastAsia="Arial" w:hAnsiTheme="majorHAnsi" w:cstheme="majorHAnsi"/>
          <w:sz w:val="20"/>
          <w:szCs w:val="20"/>
        </w:rPr>
      </w:pPr>
    </w:p>
    <w:p w14:paraId="76C9C56D" w14:textId="77777777" w:rsidR="00DE5BCE" w:rsidRPr="00706F52" w:rsidRDefault="00DE5BCE">
      <w:pPr>
        <w:rPr>
          <w:rFonts w:asciiTheme="majorHAnsi" w:eastAsia="Arial" w:hAnsiTheme="majorHAnsi" w:cstheme="majorHAnsi"/>
          <w:b/>
          <w:sz w:val="20"/>
          <w:szCs w:val="20"/>
          <w:u w:val="single"/>
        </w:rPr>
      </w:pPr>
    </w:p>
    <w:p w14:paraId="35A7CE39" w14:textId="77777777" w:rsidR="00DE5BCE" w:rsidRPr="00D647B0" w:rsidRDefault="00E00CED">
      <w:pPr>
        <w:widowControl w:val="0"/>
        <w:pBdr>
          <w:top w:val="nil"/>
          <w:left w:val="nil"/>
          <w:bottom w:val="nil"/>
          <w:right w:val="nil"/>
          <w:between w:val="nil"/>
        </w:pBdr>
        <w:spacing w:after="0" w:line="276" w:lineRule="auto"/>
        <w:rPr>
          <w:rFonts w:asciiTheme="majorHAnsi" w:eastAsia="Arial" w:hAnsiTheme="majorHAnsi" w:cstheme="majorHAnsi"/>
          <w:b/>
          <w:sz w:val="18"/>
          <w:szCs w:val="18"/>
          <w:u w:val="single"/>
        </w:rPr>
        <w:sectPr w:rsidR="00DE5BCE" w:rsidRPr="00D647B0">
          <w:type w:val="continuous"/>
          <w:pgSz w:w="11906" w:h="16838"/>
          <w:pgMar w:top="1440" w:right="1440" w:bottom="1440" w:left="1440" w:header="708" w:footer="708" w:gutter="0"/>
          <w:cols w:space="720" w:equalWidth="0">
            <w:col w:w="9360"/>
          </w:cols>
        </w:sectPr>
      </w:pPr>
      <w:r w:rsidRPr="00D647B0">
        <w:rPr>
          <w:rFonts w:asciiTheme="majorHAnsi" w:hAnsiTheme="majorHAnsi" w:cstheme="majorHAnsi"/>
        </w:rPr>
        <w:br w:type="page"/>
      </w:r>
    </w:p>
    <w:p w14:paraId="019F42A4" w14:textId="1512F529" w:rsidR="00DE5BCE" w:rsidRPr="00D647B0" w:rsidRDefault="00AD0096">
      <w:pPr>
        <w:pBdr>
          <w:top w:val="nil"/>
          <w:left w:val="nil"/>
          <w:bottom w:val="nil"/>
          <w:right w:val="nil"/>
          <w:between w:val="nil"/>
        </w:pBdr>
        <w:tabs>
          <w:tab w:val="left" w:pos="9630"/>
        </w:tabs>
        <w:spacing w:after="0" w:line="240" w:lineRule="auto"/>
        <w:rPr>
          <w:rFonts w:asciiTheme="majorHAnsi" w:eastAsia="Arial" w:hAnsiTheme="majorHAnsi" w:cstheme="majorHAnsi"/>
          <w:color w:val="000000"/>
          <w:sz w:val="18"/>
          <w:szCs w:val="18"/>
        </w:rPr>
      </w:pPr>
      <w:r>
        <w:rPr>
          <w:noProof/>
        </w:rPr>
        <w:lastRenderedPageBreak/>
        <mc:AlternateContent>
          <mc:Choice Requires="wps">
            <w:drawing>
              <wp:anchor distT="0" distB="0" distL="114300" distR="114300" simplePos="0" relativeHeight="251659264" behindDoc="0" locked="0" layoutInCell="1" allowOverlap="1" wp14:anchorId="21F25BC9" wp14:editId="5D8D6971">
                <wp:simplePos x="0" y="0"/>
                <wp:positionH relativeFrom="column">
                  <wp:posOffset>-415290</wp:posOffset>
                </wp:positionH>
                <wp:positionV relativeFrom="paragraph">
                  <wp:posOffset>-3810</wp:posOffset>
                </wp:positionV>
                <wp:extent cx="6477000" cy="59055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590550"/>
                        </a:xfrm>
                        <a:prstGeom prst="rect">
                          <a:avLst/>
                        </a:prstGeom>
                        <a:solidFill>
                          <a:srgbClr val="DDDDDD"/>
                        </a:solidFill>
                        <a:ln w="9525" cap="flat" cmpd="sng">
                          <a:solidFill>
                            <a:srgbClr val="000000"/>
                          </a:solidFill>
                          <a:prstDash val="solid"/>
                          <a:miter lim="800000"/>
                          <a:headEnd type="none" w="sm" len="sm"/>
                          <a:tailEnd type="none" w="sm" len="sm"/>
                        </a:ln>
                      </wps:spPr>
                      <wps:txbx>
                        <w:txbxContent>
                          <w:p w14:paraId="14508650" w14:textId="77777777" w:rsidR="00DE5BCE" w:rsidRPr="000C6302" w:rsidRDefault="00E00CED" w:rsidP="000C6302">
                            <w:pPr>
                              <w:spacing w:after="120" w:line="240" w:lineRule="auto"/>
                              <w:jc w:val="center"/>
                              <w:textDirection w:val="btLr"/>
                              <w:rPr>
                                <w:rFonts w:asciiTheme="majorHAnsi" w:hAnsiTheme="majorHAnsi" w:cstheme="majorHAnsi"/>
                                <w:sz w:val="20"/>
                                <w:szCs w:val="20"/>
                              </w:rPr>
                            </w:pPr>
                            <w:r w:rsidRPr="000C6302">
                              <w:rPr>
                                <w:rFonts w:asciiTheme="majorHAnsi" w:eastAsia="Arial" w:hAnsiTheme="majorHAnsi" w:cstheme="majorHAnsi"/>
                                <w:color w:val="000000"/>
                                <w:sz w:val="20"/>
                                <w:szCs w:val="20"/>
                              </w:rPr>
                              <w:t>You should ask an appropriate senior clinician or manager to sign overleaf in support of your project, however you are advised to wait until the design of your project has been finalised, following discussion with the appropriate member of the clinical audit team</w:t>
                            </w:r>
                          </w:p>
                        </w:txbxContent>
                      </wps:txbx>
                      <wps:bodyPr spcFirstLastPara="1" wrap="square" lIns="91425" tIns="72000" rIns="91425" bIns="72000" anchor="t" anchorCtr="0">
                        <a:noAutofit/>
                      </wps:bodyPr>
                    </wps:wsp>
                  </a:graphicData>
                </a:graphic>
                <wp14:sizeRelH relativeFrom="margin">
                  <wp14:pctWidth>0</wp14:pctWidth>
                </wp14:sizeRelH>
                <wp14:sizeRelV relativeFrom="margin">
                  <wp14:pctHeight>0</wp14:pctHeight>
                </wp14:sizeRelV>
              </wp:anchor>
            </w:drawing>
          </mc:Choice>
          <mc:Fallback>
            <w:pict>
              <v:rect w14:anchorId="21F25BC9" id="Rectangle 1" o:spid="_x0000_s1026" style="position:absolute;margin-left:-32.7pt;margin-top:-.3pt;width:510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" fillcolor="#ddd">
                <v:stroke startarrowwidth="narrow" startarrowlength="short" endarrowwidth="narrow" endarrowlength="short"/>
                <v:path arrowok="t"/>
                <v:textbox inset="2.53958mm,2mm,2.53958mm,2mm">
                  <w:txbxContent>
                    <w:p w14:paraId="14508650" w14:textId="77777777" w:rsidR="00DE5BCE" w:rsidRPr="000C6302" w:rsidRDefault="00E00CED" w:rsidP="000C6302">
                      <w:pPr>
                        <w:spacing w:after="120" w:line="240" w:lineRule="auto"/>
                        <w:jc w:val="center"/>
                        <w:textDirection w:val="btLr"/>
                        <w:rPr>
                          <w:rFonts w:asciiTheme="majorHAnsi" w:hAnsiTheme="majorHAnsi" w:cstheme="majorHAnsi"/>
                          <w:sz w:val="20"/>
                          <w:szCs w:val="20"/>
                        </w:rPr>
                      </w:pPr>
                      <w:r w:rsidRPr="000C6302">
                        <w:rPr>
                          <w:rFonts w:asciiTheme="majorHAnsi" w:eastAsia="Arial" w:hAnsiTheme="majorHAnsi" w:cstheme="majorHAnsi"/>
                          <w:color w:val="000000"/>
                          <w:sz w:val="20"/>
                          <w:szCs w:val="20"/>
                        </w:rPr>
                        <w:t>You should ask an appropriate senior clinician or manager to sign overleaf in support of your project, however you are advised to wait until the design of your project has been finalised, following discussion with the appropriate member of the clinical audit team</w:t>
                      </w:r>
                    </w:p>
                  </w:txbxContent>
                </v:textbox>
                <w10:wrap type="square"/>
              </v:rect>
            </w:pict>
          </mc:Fallback>
        </mc:AlternateContent>
      </w:r>
    </w:p>
    <w:tbl>
      <w:tblPr>
        <w:tblStyle w:val="2"/>
        <w:tblW w:w="10068" w:type="dxa"/>
        <w:tblInd w:w="-532"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0068"/>
      </w:tblGrid>
      <w:tr w:rsidR="00DE5BCE" w:rsidRPr="000C6302" w14:paraId="5EB681BA" w14:textId="77777777">
        <w:trPr>
          <w:trHeight w:val="480"/>
        </w:trPr>
        <w:tc>
          <w:tcPr>
            <w:tcW w:w="10068" w:type="dxa"/>
            <w:tcBorders>
              <w:top w:val="single" w:sz="4" w:space="0" w:color="000000"/>
              <w:left w:val="single" w:sz="4" w:space="0" w:color="000000"/>
              <w:bottom w:val="single" w:sz="4" w:space="0" w:color="000000"/>
              <w:right w:val="single" w:sz="4" w:space="0" w:color="000000"/>
            </w:tcBorders>
          </w:tcPr>
          <w:p w14:paraId="55CC5090" w14:textId="0AE6DB2D" w:rsidR="00DE5BCE" w:rsidRPr="000C6302" w:rsidRDefault="000C6302"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r w:rsidRPr="000C6302">
              <w:rPr>
                <w:rFonts w:asciiTheme="majorHAnsi" w:eastAsia="Arial" w:hAnsiTheme="majorHAnsi" w:cstheme="majorHAnsi"/>
                <w:b/>
                <w:color w:val="000000"/>
                <w:sz w:val="20"/>
                <w:szCs w:val="20"/>
              </w:rPr>
              <w:t>Methods:</w:t>
            </w:r>
          </w:p>
          <w:p w14:paraId="1A3B8CFE" w14:textId="77777777" w:rsidR="00DE5BCE" w:rsidRPr="000C6302" w:rsidRDefault="00DE5BCE"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p>
          <w:p w14:paraId="799CA1B2" w14:textId="77777777" w:rsidR="00DE5BCE" w:rsidRPr="000C6302" w:rsidRDefault="00E00CED"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b/>
                <w:color w:val="000000"/>
                <w:sz w:val="20"/>
                <w:szCs w:val="20"/>
              </w:rPr>
            </w:pPr>
            <w:r w:rsidRPr="000C6302">
              <w:rPr>
                <w:rFonts w:asciiTheme="majorHAnsi" w:eastAsia="Arial" w:hAnsiTheme="majorHAnsi" w:cstheme="majorHAnsi"/>
                <w:b/>
                <w:color w:val="000000"/>
                <w:sz w:val="20"/>
                <w:szCs w:val="20"/>
              </w:rPr>
              <w:t xml:space="preserve">Data Collection Method: </w:t>
            </w:r>
          </w:p>
          <w:p w14:paraId="08F41710" w14:textId="77777777" w:rsidR="00DE5BCE" w:rsidRPr="000C6302" w:rsidRDefault="00DE5BCE"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p>
          <w:tbl>
            <w:tblPr>
              <w:tblStyle w:val="1"/>
              <w:tblW w:w="9840" w:type="dxa"/>
              <w:tblLayout w:type="fixed"/>
              <w:tblLook w:val="0400" w:firstRow="0" w:lastRow="0" w:firstColumn="0" w:lastColumn="0" w:noHBand="0" w:noVBand="1"/>
            </w:tblPr>
            <w:tblGrid>
              <w:gridCol w:w="1320"/>
              <w:gridCol w:w="360"/>
              <w:gridCol w:w="2280"/>
              <w:gridCol w:w="360"/>
              <w:gridCol w:w="2520"/>
              <w:gridCol w:w="360"/>
              <w:gridCol w:w="2280"/>
              <w:gridCol w:w="360"/>
            </w:tblGrid>
            <w:tr w:rsidR="00DE5BCE" w:rsidRPr="000C6302" w14:paraId="6AFDEC59" w14:textId="77777777">
              <w:trPr>
                <w:trHeight w:val="280"/>
              </w:trPr>
              <w:tc>
                <w:tcPr>
                  <w:tcW w:w="1320" w:type="dxa"/>
                  <w:vAlign w:val="center"/>
                </w:tcPr>
                <w:p w14:paraId="17257BC9" w14:textId="77777777" w:rsidR="00DE5BCE" w:rsidRPr="000C6302" w:rsidRDefault="00E00CED" w:rsidP="000C6302">
                  <w:pPr>
                    <w:spacing w:after="120" w:line="240" w:lineRule="auto"/>
                    <w:ind w:left="-108"/>
                    <w:contextualSpacing/>
                    <w:jc w:val="right"/>
                    <w:rPr>
                      <w:rFonts w:asciiTheme="majorHAnsi" w:eastAsia="Arial" w:hAnsiTheme="majorHAnsi" w:cstheme="majorHAnsi"/>
                      <w:sz w:val="20"/>
                      <w:szCs w:val="20"/>
                    </w:rPr>
                  </w:pPr>
                  <w:proofErr w:type="spellStart"/>
                  <w:r w:rsidRPr="000C6302">
                    <w:rPr>
                      <w:rFonts w:asciiTheme="majorHAnsi" w:eastAsia="Arial" w:hAnsiTheme="majorHAnsi" w:cstheme="majorHAnsi"/>
                      <w:sz w:val="20"/>
                      <w:szCs w:val="20"/>
                    </w:rPr>
                    <w:t>Casenote</w:t>
                  </w:r>
                  <w:proofErr w:type="spellEnd"/>
                  <w:r w:rsidRPr="000C6302">
                    <w:rPr>
                      <w:rFonts w:asciiTheme="majorHAnsi" w:eastAsia="Arial" w:hAnsiTheme="majorHAnsi" w:cstheme="majorHAnsi"/>
                      <w:sz w:val="20"/>
                      <w:szCs w:val="20"/>
                    </w:rPr>
                    <w:t xml:space="preserve"> review</w:t>
                  </w:r>
                </w:p>
              </w:tc>
              <w:tc>
                <w:tcPr>
                  <w:tcW w:w="360" w:type="dxa"/>
                  <w:tcBorders>
                    <w:top w:val="single" w:sz="4" w:space="0" w:color="000000"/>
                    <w:left w:val="single" w:sz="4" w:space="0" w:color="000000"/>
                    <w:bottom w:val="single" w:sz="4" w:space="0" w:color="000000"/>
                    <w:right w:val="single" w:sz="4" w:space="0" w:color="000000"/>
                  </w:tcBorders>
                  <w:vAlign w:val="center"/>
                </w:tcPr>
                <w:p w14:paraId="140A7FA0" w14:textId="77777777" w:rsidR="00DE5BCE" w:rsidRPr="000C6302" w:rsidRDefault="00DE5BCE" w:rsidP="000C6302">
                  <w:pPr>
                    <w:spacing w:after="120" w:line="240" w:lineRule="auto"/>
                    <w:contextualSpacing/>
                    <w:rPr>
                      <w:rFonts w:asciiTheme="majorHAnsi" w:eastAsia="Arial" w:hAnsiTheme="majorHAnsi" w:cstheme="majorHAnsi"/>
                      <w:sz w:val="20"/>
                      <w:szCs w:val="20"/>
                    </w:rPr>
                  </w:pPr>
                </w:p>
              </w:tc>
              <w:tc>
                <w:tcPr>
                  <w:tcW w:w="2280" w:type="dxa"/>
                  <w:vAlign w:val="center"/>
                </w:tcPr>
                <w:p w14:paraId="71CEDA0A" w14:textId="77777777" w:rsidR="00DE5BCE" w:rsidRPr="000C6302" w:rsidRDefault="00E00CED" w:rsidP="000C6302">
                  <w:pPr>
                    <w:spacing w:after="120" w:line="240" w:lineRule="auto"/>
                    <w:contextualSpacing/>
                    <w:jc w:val="right"/>
                    <w:rPr>
                      <w:rFonts w:asciiTheme="majorHAnsi" w:eastAsia="Arial" w:hAnsiTheme="majorHAnsi" w:cstheme="majorHAnsi"/>
                      <w:sz w:val="20"/>
                      <w:szCs w:val="20"/>
                    </w:rPr>
                  </w:pPr>
                  <w:r w:rsidRPr="000C6302">
                    <w:rPr>
                      <w:rFonts w:asciiTheme="majorHAnsi" w:eastAsia="Arial" w:hAnsiTheme="majorHAnsi" w:cstheme="majorHAnsi"/>
                      <w:sz w:val="20"/>
                      <w:szCs w:val="20"/>
                    </w:rPr>
                    <w:t>Prospective data collection</w:t>
                  </w:r>
                </w:p>
              </w:tc>
              <w:tc>
                <w:tcPr>
                  <w:tcW w:w="360" w:type="dxa"/>
                  <w:tcBorders>
                    <w:top w:val="single" w:sz="4" w:space="0" w:color="000000"/>
                    <w:left w:val="single" w:sz="4" w:space="0" w:color="000000"/>
                    <w:bottom w:val="single" w:sz="4" w:space="0" w:color="000000"/>
                    <w:right w:val="single" w:sz="4" w:space="0" w:color="000000"/>
                  </w:tcBorders>
                  <w:vAlign w:val="center"/>
                </w:tcPr>
                <w:p w14:paraId="278FA553" w14:textId="00877099" w:rsidR="00DE5BCE" w:rsidRPr="000C6302" w:rsidRDefault="00DE6B17" w:rsidP="000C6302">
                  <w:pPr>
                    <w:spacing w:after="120" w:line="240" w:lineRule="auto"/>
                    <w:contextualSpacing/>
                    <w:jc w:val="center"/>
                    <w:rPr>
                      <w:rFonts w:asciiTheme="majorHAnsi" w:eastAsia="Arial" w:hAnsiTheme="majorHAnsi" w:cstheme="majorHAnsi"/>
                      <w:sz w:val="20"/>
                      <w:szCs w:val="20"/>
                    </w:rPr>
                  </w:pPr>
                  <w:r w:rsidRPr="000C6302">
                    <w:rPr>
                      <w:rFonts w:asciiTheme="majorHAnsi" w:eastAsia="Arial" w:hAnsiTheme="majorHAnsi" w:cstheme="majorHAnsi"/>
                      <w:sz w:val="20"/>
                      <w:szCs w:val="20"/>
                    </w:rPr>
                    <w:t>x</w:t>
                  </w:r>
                  <w:r w:rsidR="00E00CED" w:rsidRPr="000C6302">
                    <w:rPr>
                      <w:rFonts w:asciiTheme="majorHAnsi" w:eastAsia="Arial" w:hAnsiTheme="majorHAnsi" w:cstheme="majorHAnsi"/>
                      <w:sz w:val="20"/>
                      <w:szCs w:val="20"/>
                    </w:rPr>
                    <w:t xml:space="preserve"> </w:t>
                  </w:r>
                </w:p>
              </w:tc>
              <w:tc>
                <w:tcPr>
                  <w:tcW w:w="2520" w:type="dxa"/>
                  <w:tcBorders>
                    <w:top w:val="nil"/>
                    <w:left w:val="single" w:sz="4" w:space="0" w:color="000000"/>
                    <w:bottom w:val="nil"/>
                    <w:right w:val="single" w:sz="4" w:space="0" w:color="000000"/>
                  </w:tcBorders>
                  <w:vAlign w:val="center"/>
                </w:tcPr>
                <w:p w14:paraId="4CC62603" w14:textId="77777777" w:rsidR="00DE5BCE" w:rsidRPr="000C6302" w:rsidRDefault="00E00CED" w:rsidP="000C6302">
                  <w:pPr>
                    <w:spacing w:after="120" w:line="240" w:lineRule="auto"/>
                    <w:contextualSpacing/>
                    <w:jc w:val="right"/>
                    <w:rPr>
                      <w:rFonts w:asciiTheme="majorHAnsi" w:eastAsia="Arial" w:hAnsiTheme="majorHAnsi" w:cstheme="majorHAnsi"/>
                      <w:sz w:val="20"/>
                      <w:szCs w:val="20"/>
                    </w:rPr>
                  </w:pPr>
                  <w:r w:rsidRPr="000C6302">
                    <w:rPr>
                      <w:rFonts w:asciiTheme="majorHAnsi" w:eastAsia="Arial" w:hAnsiTheme="majorHAnsi" w:cstheme="majorHAnsi"/>
                      <w:sz w:val="20"/>
                      <w:szCs w:val="20"/>
                    </w:rPr>
                    <w:t>Data from existing database(s)</w:t>
                  </w:r>
                </w:p>
              </w:tc>
              <w:tc>
                <w:tcPr>
                  <w:tcW w:w="360" w:type="dxa"/>
                  <w:tcBorders>
                    <w:top w:val="single" w:sz="4" w:space="0" w:color="000000"/>
                    <w:left w:val="single" w:sz="4" w:space="0" w:color="000000"/>
                    <w:bottom w:val="single" w:sz="4" w:space="0" w:color="000000"/>
                    <w:right w:val="single" w:sz="4" w:space="0" w:color="000000"/>
                  </w:tcBorders>
                  <w:vAlign w:val="center"/>
                </w:tcPr>
                <w:p w14:paraId="68AD1828" w14:textId="66F75B79" w:rsidR="00DE5BCE" w:rsidRPr="000C6302" w:rsidRDefault="00E00CED" w:rsidP="000C6302">
                  <w:pPr>
                    <w:spacing w:after="120" w:line="240" w:lineRule="auto"/>
                    <w:contextualSpacing/>
                    <w:jc w:val="center"/>
                    <w:rPr>
                      <w:rFonts w:asciiTheme="majorHAnsi" w:eastAsia="Arial" w:hAnsiTheme="majorHAnsi" w:cstheme="majorHAnsi"/>
                      <w:sz w:val="20"/>
                      <w:szCs w:val="20"/>
                    </w:rPr>
                  </w:pPr>
                  <w:r w:rsidRPr="000C6302">
                    <w:rPr>
                      <w:rFonts w:asciiTheme="majorHAnsi" w:eastAsia="Arial" w:hAnsiTheme="majorHAnsi" w:cstheme="majorHAnsi"/>
                      <w:sz w:val="20"/>
                      <w:szCs w:val="20"/>
                    </w:rPr>
                    <w:t xml:space="preserve"> </w:t>
                  </w:r>
                </w:p>
              </w:tc>
              <w:tc>
                <w:tcPr>
                  <w:tcW w:w="2280" w:type="dxa"/>
                  <w:tcBorders>
                    <w:top w:val="nil"/>
                    <w:left w:val="single" w:sz="4" w:space="0" w:color="000000"/>
                    <w:bottom w:val="nil"/>
                    <w:right w:val="single" w:sz="4" w:space="0" w:color="000000"/>
                  </w:tcBorders>
                  <w:vAlign w:val="center"/>
                </w:tcPr>
                <w:p w14:paraId="538492EB" w14:textId="77777777" w:rsidR="00DE5BCE" w:rsidRPr="000C6302" w:rsidRDefault="00E00CED" w:rsidP="000C6302">
                  <w:pPr>
                    <w:spacing w:after="120" w:line="240" w:lineRule="auto"/>
                    <w:ind w:left="-96" w:hanging="11"/>
                    <w:contextualSpacing/>
                    <w:jc w:val="right"/>
                    <w:rPr>
                      <w:rFonts w:asciiTheme="majorHAnsi" w:eastAsia="Arial" w:hAnsiTheme="majorHAnsi" w:cstheme="majorHAnsi"/>
                      <w:sz w:val="20"/>
                      <w:szCs w:val="20"/>
                    </w:rPr>
                  </w:pPr>
                  <w:r w:rsidRPr="000C6302">
                    <w:rPr>
                      <w:rFonts w:asciiTheme="majorHAnsi" w:eastAsia="Arial" w:hAnsiTheme="majorHAnsi" w:cstheme="majorHAnsi"/>
                      <w:sz w:val="20"/>
                      <w:szCs w:val="20"/>
                    </w:rPr>
                    <w:t>Patient/</w:t>
                  </w:r>
                </w:p>
                <w:p w14:paraId="200519CA" w14:textId="77777777" w:rsidR="00DE5BCE" w:rsidRPr="000C6302" w:rsidRDefault="00E00CED" w:rsidP="000C6302">
                  <w:pPr>
                    <w:spacing w:after="120" w:line="240" w:lineRule="auto"/>
                    <w:ind w:left="-96" w:hanging="11"/>
                    <w:contextualSpacing/>
                    <w:jc w:val="right"/>
                    <w:rPr>
                      <w:rFonts w:asciiTheme="majorHAnsi" w:eastAsia="Arial" w:hAnsiTheme="majorHAnsi" w:cstheme="majorHAnsi"/>
                      <w:sz w:val="20"/>
                      <w:szCs w:val="20"/>
                    </w:rPr>
                  </w:pPr>
                  <w:r w:rsidRPr="000C6302">
                    <w:rPr>
                      <w:rFonts w:asciiTheme="majorHAnsi" w:eastAsia="Arial" w:hAnsiTheme="majorHAnsi" w:cstheme="majorHAnsi"/>
                      <w:sz w:val="20"/>
                      <w:szCs w:val="20"/>
                    </w:rPr>
                    <w:t>staff questionnaire</w:t>
                  </w:r>
                </w:p>
              </w:tc>
              <w:tc>
                <w:tcPr>
                  <w:tcW w:w="360" w:type="dxa"/>
                  <w:tcBorders>
                    <w:top w:val="single" w:sz="4" w:space="0" w:color="000000"/>
                    <w:left w:val="single" w:sz="4" w:space="0" w:color="000000"/>
                    <w:bottom w:val="single" w:sz="4" w:space="0" w:color="000000"/>
                    <w:right w:val="single" w:sz="4" w:space="0" w:color="000000"/>
                  </w:tcBorders>
                  <w:vAlign w:val="center"/>
                </w:tcPr>
                <w:p w14:paraId="7EBB1ABE" w14:textId="77777777" w:rsidR="00DE5BCE" w:rsidRPr="000C6302" w:rsidRDefault="00E00CED" w:rsidP="000C6302">
                  <w:pPr>
                    <w:spacing w:after="120" w:line="240" w:lineRule="auto"/>
                    <w:contextualSpacing/>
                    <w:jc w:val="center"/>
                    <w:rPr>
                      <w:rFonts w:asciiTheme="majorHAnsi" w:eastAsia="Arial" w:hAnsiTheme="majorHAnsi" w:cstheme="majorHAnsi"/>
                      <w:sz w:val="20"/>
                      <w:szCs w:val="20"/>
                    </w:rPr>
                  </w:pPr>
                  <w:r w:rsidRPr="000C6302">
                    <w:rPr>
                      <w:rFonts w:asciiTheme="majorHAnsi" w:eastAsia="Arial" w:hAnsiTheme="majorHAnsi" w:cstheme="majorHAnsi"/>
                      <w:sz w:val="20"/>
                      <w:szCs w:val="20"/>
                    </w:rPr>
                    <w:t xml:space="preserve"> </w:t>
                  </w:r>
                </w:p>
              </w:tc>
            </w:tr>
          </w:tbl>
          <w:p w14:paraId="2A60FFF4" w14:textId="77777777" w:rsidR="00DE5BCE" w:rsidRPr="000C6302" w:rsidRDefault="00DE5BCE"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p>
          <w:p w14:paraId="5005C685" w14:textId="77777777" w:rsidR="000C6302" w:rsidRDefault="000C6302"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p>
          <w:p w14:paraId="6FD157E1" w14:textId="77777777" w:rsidR="00DE5BCE" w:rsidRPr="000C6302" w:rsidRDefault="00E00CED"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 xml:space="preserve">Further details or other method: </w:t>
            </w:r>
          </w:p>
          <w:p w14:paraId="089DA9DF" w14:textId="77777777" w:rsidR="000C6302" w:rsidRDefault="000C6302" w:rsidP="000C6302">
            <w:pPr>
              <w:pBdr>
                <w:top w:val="nil"/>
                <w:left w:val="nil"/>
                <w:bottom w:val="nil"/>
                <w:right w:val="nil"/>
                <w:between w:val="nil"/>
              </w:pBdr>
              <w:tabs>
                <w:tab w:val="left" w:pos="9840"/>
              </w:tabs>
              <w:spacing w:after="120" w:line="240" w:lineRule="auto"/>
              <w:ind w:left="360" w:hanging="360"/>
              <w:contextualSpacing/>
              <w:rPr>
                <w:rFonts w:asciiTheme="majorHAnsi" w:eastAsia="Arial" w:hAnsiTheme="majorHAnsi" w:cstheme="majorHAnsi"/>
                <w:color w:val="000000"/>
                <w:sz w:val="20"/>
                <w:szCs w:val="20"/>
              </w:rPr>
            </w:pPr>
          </w:p>
          <w:p w14:paraId="4D253C50" w14:textId="269EBC4A" w:rsidR="00DE5BCE" w:rsidRPr="000C6302" w:rsidRDefault="00E00CED" w:rsidP="000C6302">
            <w:pPr>
              <w:pBdr>
                <w:top w:val="nil"/>
                <w:left w:val="nil"/>
                <w:bottom w:val="nil"/>
                <w:right w:val="nil"/>
                <w:between w:val="nil"/>
              </w:pBdr>
              <w:tabs>
                <w:tab w:val="left" w:pos="9840"/>
              </w:tabs>
              <w:spacing w:after="120" w:line="240" w:lineRule="auto"/>
              <w:ind w:left="248"/>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 xml:space="preserve">Patients </w:t>
            </w:r>
            <w:r w:rsidR="000C6302">
              <w:rPr>
                <w:rFonts w:asciiTheme="majorHAnsi" w:eastAsia="Arial" w:hAnsiTheme="majorHAnsi" w:cstheme="majorHAnsi"/>
                <w:color w:val="000000"/>
                <w:sz w:val="20"/>
                <w:szCs w:val="20"/>
              </w:rPr>
              <w:t xml:space="preserve">for inclusion will </w:t>
            </w:r>
            <w:r w:rsidRPr="000C6302">
              <w:rPr>
                <w:rFonts w:asciiTheme="majorHAnsi" w:eastAsia="Arial" w:hAnsiTheme="majorHAnsi" w:cstheme="majorHAnsi"/>
                <w:color w:val="000000"/>
                <w:sz w:val="20"/>
                <w:szCs w:val="20"/>
              </w:rPr>
              <w:t xml:space="preserve">be identified from </w:t>
            </w:r>
            <w:r w:rsidR="000C6302">
              <w:rPr>
                <w:rFonts w:asciiTheme="majorHAnsi" w:eastAsia="Arial" w:hAnsiTheme="majorHAnsi" w:cstheme="majorHAnsi"/>
                <w:color w:val="000000"/>
                <w:sz w:val="20"/>
                <w:szCs w:val="20"/>
              </w:rPr>
              <w:t xml:space="preserve">referrals through the </w:t>
            </w:r>
            <w:r w:rsidR="009C4161">
              <w:rPr>
                <w:rFonts w:asciiTheme="majorHAnsi" w:eastAsia="Arial" w:hAnsiTheme="majorHAnsi" w:cstheme="majorHAnsi"/>
                <w:color w:val="000000"/>
                <w:sz w:val="20"/>
                <w:szCs w:val="20"/>
              </w:rPr>
              <w:t xml:space="preserve">sarcoma </w:t>
            </w:r>
            <w:r w:rsidR="000C6302">
              <w:rPr>
                <w:rFonts w:asciiTheme="majorHAnsi" w:eastAsia="Arial" w:hAnsiTheme="majorHAnsi" w:cstheme="majorHAnsi"/>
                <w:color w:val="000000"/>
                <w:sz w:val="20"/>
                <w:szCs w:val="20"/>
              </w:rPr>
              <w:t>department</w:t>
            </w:r>
            <w:r w:rsidRPr="000C6302">
              <w:rPr>
                <w:rFonts w:asciiTheme="majorHAnsi" w:eastAsia="Arial" w:hAnsiTheme="majorHAnsi" w:cstheme="majorHAnsi"/>
                <w:color w:val="000000"/>
                <w:sz w:val="20"/>
                <w:szCs w:val="20"/>
              </w:rPr>
              <w:t xml:space="preserve">. </w:t>
            </w:r>
            <w:r w:rsidR="008365E5" w:rsidRPr="000C6302">
              <w:rPr>
                <w:rFonts w:asciiTheme="majorHAnsi" w:eastAsia="Arial" w:hAnsiTheme="majorHAnsi" w:cstheme="majorHAnsi"/>
                <w:color w:val="000000"/>
                <w:sz w:val="20"/>
                <w:szCs w:val="20"/>
              </w:rPr>
              <w:t>Patients will</w:t>
            </w:r>
            <w:r w:rsidRPr="000C6302">
              <w:rPr>
                <w:rFonts w:asciiTheme="majorHAnsi" w:eastAsia="Arial" w:hAnsiTheme="majorHAnsi" w:cstheme="majorHAnsi"/>
                <w:color w:val="000000"/>
                <w:sz w:val="20"/>
                <w:szCs w:val="20"/>
              </w:rPr>
              <w:t xml:space="preserve"> then be reviewed:</w:t>
            </w:r>
          </w:p>
          <w:p w14:paraId="2887A05B" w14:textId="20116F0B" w:rsidR="00DE5BCE" w:rsidRPr="000C6302" w:rsidRDefault="00E00CED" w:rsidP="000C6302">
            <w:pPr>
              <w:numPr>
                <w:ilvl w:val="0"/>
                <w:numId w:val="1"/>
              </w:numPr>
              <w:pBdr>
                <w:top w:val="nil"/>
                <w:left w:val="nil"/>
                <w:bottom w:val="nil"/>
                <w:right w:val="nil"/>
                <w:between w:val="nil"/>
              </w:pBdr>
              <w:tabs>
                <w:tab w:val="left" w:pos="9840"/>
              </w:tabs>
              <w:spacing w:after="120" w:line="240" w:lineRule="auto"/>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 xml:space="preserve">To </w:t>
            </w:r>
            <w:r w:rsidR="000C6302">
              <w:rPr>
                <w:rFonts w:asciiTheme="majorHAnsi" w:eastAsia="Arial" w:hAnsiTheme="majorHAnsi" w:cstheme="majorHAnsi"/>
                <w:color w:val="000000"/>
                <w:sz w:val="20"/>
                <w:szCs w:val="20"/>
              </w:rPr>
              <w:t>confirm</w:t>
            </w:r>
            <w:r w:rsidRPr="000C6302">
              <w:rPr>
                <w:rFonts w:asciiTheme="majorHAnsi" w:eastAsia="Arial" w:hAnsiTheme="majorHAnsi" w:cstheme="majorHAnsi"/>
                <w:color w:val="000000"/>
                <w:sz w:val="20"/>
                <w:szCs w:val="20"/>
              </w:rPr>
              <w:t xml:space="preserve"> whether their </w:t>
            </w:r>
            <w:r w:rsidR="00DE6B17" w:rsidRPr="000C6302">
              <w:rPr>
                <w:rFonts w:asciiTheme="majorHAnsi" w:eastAsia="Arial" w:hAnsiTheme="majorHAnsi" w:cstheme="majorHAnsi"/>
                <w:color w:val="000000"/>
                <w:sz w:val="20"/>
                <w:szCs w:val="20"/>
              </w:rPr>
              <w:t>diagnosis</w:t>
            </w:r>
            <w:r w:rsidRPr="000C6302">
              <w:rPr>
                <w:rFonts w:asciiTheme="majorHAnsi" w:eastAsia="Arial" w:hAnsiTheme="majorHAnsi" w:cstheme="majorHAnsi"/>
                <w:color w:val="000000"/>
                <w:sz w:val="20"/>
                <w:szCs w:val="20"/>
              </w:rPr>
              <w:t xml:space="preserve"> meets the inclusion criteria</w:t>
            </w:r>
          </w:p>
          <w:p w14:paraId="3396EEF7" w14:textId="2EBCE72E" w:rsidR="00DE5BCE" w:rsidRPr="000C6302" w:rsidRDefault="00E00CED" w:rsidP="000C6302">
            <w:pPr>
              <w:numPr>
                <w:ilvl w:val="0"/>
                <w:numId w:val="1"/>
              </w:numPr>
              <w:pBdr>
                <w:top w:val="nil"/>
                <w:left w:val="nil"/>
                <w:bottom w:val="nil"/>
                <w:right w:val="nil"/>
                <w:between w:val="nil"/>
              </w:pBdr>
              <w:tabs>
                <w:tab w:val="left" w:pos="9840"/>
              </w:tabs>
              <w:spacing w:after="120" w:line="240" w:lineRule="auto"/>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 xml:space="preserve">To determine the date of the </w:t>
            </w:r>
            <w:r w:rsidR="00827D6F">
              <w:rPr>
                <w:rFonts w:asciiTheme="majorHAnsi" w:eastAsia="Arial" w:hAnsiTheme="majorHAnsi" w:cstheme="majorHAnsi"/>
                <w:color w:val="000000"/>
                <w:sz w:val="20"/>
                <w:szCs w:val="20"/>
              </w:rPr>
              <w:t xml:space="preserve">referral to, presentation to and MDT </w:t>
            </w:r>
            <w:r w:rsidR="00DE6B17" w:rsidRPr="000C6302">
              <w:rPr>
                <w:rFonts w:asciiTheme="majorHAnsi" w:eastAsia="Arial" w:hAnsiTheme="majorHAnsi" w:cstheme="majorHAnsi"/>
                <w:color w:val="000000"/>
                <w:sz w:val="20"/>
                <w:szCs w:val="20"/>
              </w:rPr>
              <w:t>diagnosis</w:t>
            </w:r>
            <w:r w:rsidRPr="000C6302">
              <w:rPr>
                <w:rFonts w:asciiTheme="majorHAnsi" w:eastAsia="Arial" w:hAnsiTheme="majorHAnsi" w:cstheme="majorHAnsi"/>
                <w:color w:val="000000"/>
                <w:sz w:val="20"/>
                <w:szCs w:val="20"/>
              </w:rPr>
              <w:t xml:space="preserve"> </w:t>
            </w:r>
            <w:r w:rsidR="00827D6F">
              <w:rPr>
                <w:rFonts w:asciiTheme="majorHAnsi" w:eastAsia="Arial" w:hAnsiTheme="majorHAnsi" w:cstheme="majorHAnsi"/>
                <w:color w:val="000000"/>
                <w:sz w:val="20"/>
                <w:szCs w:val="20"/>
              </w:rPr>
              <w:t>at sarcoma centre</w:t>
            </w:r>
          </w:p>
          <w:p w14:paraId="7C9DCE47" w14:textId="7BA8F255" w:rsidR="008365E5" w:rsidRPr="000C6302" w:rsidRDefault="008365E5" w:rsidP="000C6302">
            <w:pPr>
              <w:numPr>
                <w:ilvl w:val="0"/>
                <w:numId w:val="1"/>
              </w:numPr>
              <w:pBdr>
                <w:top w:val="nil"/>
                <w:left w:val="nil"/>
                <w:bottom w:val="nil"/>
                <w:right w:val="nil"/>
                <w:between w:val="nil"/>
              </w:pBdr>
              <w:tabs>
                <w:tab w:val="left" w:pos="9840"/>
              </w:tabs>
              <w:spacing w:after="120" w:line="240" w:lineRule="auto"/>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 xml:space="preserve">To determine </w:t>
            </w:r>
            <w:r w:rsidR="009C4161">
              <w:rPr>
                <w:rFonts w:asciiTheme="majorHAnsi" w:eastAsia="Arial" w:hAnsiTheme="majorHAnsi" w:cstheme="majorHAnsi"/>
                <w:color w:val="000000"/>
                <w:sz w:val="20"/>
                <w:szCs w:val="20"/>
              </w:rPr>
              <w:t>date of direct access X-ray or ultrasound</w:t>
            </w:r>
          </w:p>
          <w:p w14:paraId="0BB8D394" w14:textId="7C987538" w:rsidR="008365E5" w:rsidRPr="000C6302" w:rsidRDefault="008365E5" w:rsidP="000C6302">
            <w:pPr>
              <w:numPr>
                <w:ilvl w:val="0"/>
                <w:numId w:val="1"/>
              </w:numPr>
              <w:pBdr>
                <w:top w:val="nil"/>
                <w:left w:val="nil"/>
                <w:bottom w:val="nil"/>
                <w:right w:val="nil"/>
                <w:between w:val="nil"/>
              </w:pBdr>
              <w:tabs>
                <w:tab w:val="left" w:pos="9840"/>
              </w:tabs>
              <w:spacing w:after="120" w:line="240" w:lineRule="auto"/>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T</w:t>
            </w:r>
            <w:r w:rsidR="009C0E98" w:rsidRPr="000C6302">
              <w:rPr>
                <w:rFonts w:asciiTheme="majorHAnsi" w:eastAsia="Arial" w:hAnsiTheme="majorHAnsi" w:cstheme="majorHAnsi"/>
                <w:color w:val="000000"/>
                <w:sz w:val="20"/>
                <w:szCs w:val="20"/>
              </w:rPr>
              <w:t xml:space="preserve">o determine </w:t>
            </w:r>
            <w:r w:rsidR="009C4161">
              <w:rPr>
                <w:rFonts w:asciiTheme="majorHAnsi" w:eastAsia="Arial" w:hAnsiTheme="majorHAnsi" w:cstheme="majorHAnsi"/>
                <w:color w:val="000000"/>
                <w:sz w:val="20"/>
                <w:szCs w:val="20"/>
              </w:rPr>
              <w:t>date of first, second, third etc presentation to a health care professional</w:t>
            </w:r>
            <w:r w:rsidRPr="000C6302">
              <w:rPr>
                <w:rFonts w:asciiTheme="majorHAnsi" w:eastAsia="Arial" w:hAnsiTheme="majorHAnsi" w:cstheme="majorHAnsi"/>
                <w:color w:val="000000"/>
                <w:sz w:val="20"/>
                <w:szCs w:val="20"/>
              </w:rPr>
              <w:t xml:space="preserve"> </w:t>
            </w:r>
          </w:p>
          <w:p w14:paraId="527483DE" w14:textId="7192E9A9" w:rsidR="009C0E98" w:rsidRPr="000C6302" w:rsidRDefault="009C4161" w:rsidP="000C6302">
            <w:pPr>
              <w:numPr>
                <w:ilvl w:val="0"/>
                <w:numId w:val="1"/>
              </w:numPr>
              <w:pBdr>
                <w:top w:val="nil"/>
                <w:left w:val="nil"/>
                <w:bottom w:val="nil"/>
                <w:right w:val="nil"/>
                <w:between w:val="nil"/>
              </w:pBdr>
              <w:tabs>
                <w:tab w:val="left" w:pos="9840"/>
              </w:tabs>
              <w:spacing w:after="120" w:line="240" w:lineRule="auto"/>
              <w:contextualSpacing/>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t>What was the outcome of each presentation to a health care professional?</w:t>
            </w:r>
          </w:p>
          <w:p w14:paraId="7322613D" w14:textId="235D902B" w:rsidR="009C0E98" w:rsidRPr="000C6302" w:rsidRDefault="00827D6F" w:rsidP="000C6302">
            <w:pPr>
              <w:numPr>
                <w:ilvl w:val="0"/>
                <w:numId w:val="1"/>
              </w:numPr>
              <w:pBdr>
                <w:top w:val="nil"/>
                <w:left w:val="nil"/>
                <w:bottom w:val="nil"/>
                <w:right w:val="nil"/>
                <w:between w:val="nil"/>
              </w:pBdr>
              <w:tabs>
                <w:tab w:val="left" w:pos="9840"/>
              </w:tabs>
              <w:spacing w:after="120" w:line="240" w:lineRule="auto"/>
              <w:contextualSpacing/>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t>Where was the biopsy performed (</w:t>
            </w:r>
            <w:proofErr w:type="gramStart"/>
            <w:r>
              <w:rPr>
                <w:rFonts w:asciiTheme="majorHAnsi" w:eastAsia="Arial" w:hAnsiTheme="majorHAnsi" w:cstheme="majorHAnsi"/>
                <w:color w:val="000000"/>
                <w:sz w:val="20"/>
                <w:szCs w:val="20"/>
              </w:rPr>
              <w:t>i.e.</w:t>
            </w:r>
            <w:proofErr w:type="gramEnd"/>
            <w:r>
              <w:rPr>
                <w:rFonts w:asciiTheme="majorHAnsi" w:eastAsia="Arial" w:hAnsiTheme="majorHAnsi" w:cstheme="majorHAnsi"/>
                <w:color w:val="000000"/>
                <w:sz w:val="20"/>
                <w:szCs w:val="20"/>
              </w:rPr>
              <w:t xml:space="preserve"> sarcoma centre or elsewhere)?</w:t>
            </w:r>
          </w:p>
          <w:p w14:paraId="632018BB" w14:textId="7653BCEB" w:rsidR="009C0E98" w:rsidRPr="000C6302" w:rsidRDefault="00827D6F" w:rsidP="000C6302">
            <w:pPr>
              <w:numPr>
                <w:ilvl w:val="0"/>
                <w:numId w:val="1"/>
              </w:numPr>
              <w:pBdr>
                <w:top w:val="nil"/>
                <w:left w:val="nil"/>
                <w:bottom w:val="nil"/>
                <w:right w:val="nil"/>
                <w:between w:val="nil"/>
              </w:pBdr>
              <w:tabs>
                <w:tab w:val="left" w:pos="9840"/>
              </w:tabs>
              <w:spacing w:after="120" w:line="240" w:lineRule="auto"/>
              <w:contextualSpacing/>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t>Was any inadvertent surgery performed?</w:t>
            </w:r>
          </w:p>
          <w:p w14:paraId="455C28E7" w14:textId="530FF825" w:rsidR="009C0E98" w:rsidRPr="000C6302" w:rsidRDefault="00827D6F" w:rsidP="000C6302">
            <w:pPr>
              <w:numPr>
                <w:ilvl w:val="0"/>
                <w:numId w:val="1"/>
              </w:numPr>
              <w:pBdr>
                <w:top w:val="nil"/>
                <w:left w:val="nil"/>
                <w:bottom w:val="nil"/>
                <w:right w:val="nil"/>
                <w:between w:val="nil"/>
              </w:pBdr>
              <w:tabs>
                <w:tab w:val="left" w:pos="9840"/>
              </w:tabs>
              <w:spacing w:after="120" w:line="240" w:lineRule="auto"/>
              <w:contextualSpacing/>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t>Was a tertiary referral made</w:t>
            </w:r>
            <w:r w:rsidR="00845016">
              <w:rPr>
                <w:rFonts w:asciiTheme="majorHAnsi" w:eastAsia="Arial" w:hAnsiTheme="majorHAnsi" w:cstheme="majorHAnsi"/>
                <w:color w:val="000000"/>
                <w:sz w:val="20"/>
                <w:szCs w:val="20"/>
              </w:rPr>
              <w:t xml:space="preserve"> to another sarcoma centre</w:t>
            </w:r>
            <w:r>
              <w:rPr>
                <w:rFonts w:asciiTheme="majorHAnsi" w:eastAsia="Arial" w:hAnsiTheme="majorHAnsi" w:cstheme="majorHAnsi"/>
                <w:color w:val="000000"/>
                <w:sz w:val="20"/>
                <w:szCs w:val="20"/>
              </w:rPr>
              <w:t>?</w:t>
            </w:r>
          </w:p>
          <w:p w14:paraId="60A1839C" w14:textId="77777777" w:rsidR="00DE5BCE" w:rsidRPr="000C6302" w:rsidRDefault="00DE5BCE"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p>
          <w:p w14:paraId="2F42EFEF" w14:textId="42140CFD" w:rsidR="00DE5BCE" w:rsidRPr="000C6302" w:rsidRDefault="00E00CED" w:rsidP="000C6302">
            <w:pPr>
              <w:pBdr>
                <w:top w:val="nil"/>
                <w:left w:val="nil"/>
                <w:bottom w:val="nil"/>
                <w:right w:val="nil"/>
                <w:between w:val="nil"/>
              </w:pBdr>
              <w:spacing w:after="120" w:line="240" w:lineRule="auto"/>
              <w:ind w:left="360" w:hanging="360"/>
              <w:contextualSpacing/>
              <w:jc w:val="center"/>
              <w:rPr>
                <w:rFonts w:asciiTheme="majorHAnsi" w:eastAsia="Arial" w:hAnsiTheme="majorHAnsi" w:cstheme="majorHAnsi"/>
                <w:b/>
                <w:color w:val="000000"/>
                <w:sz w:val="20"/>
                <w:szCs w:val="20"/>
              </w:rPr>
            </w:pPr>
            <w:r w:rsidRPr="000C6302">
              <w:rPr>
                <w:rFonts w:asciiTheme="majorHAnsi" w:eastAsia="Arial" w:hAnsiTheme="majorHAnsi" w:cstheme="majorHAnsi"/>
                <w:b/>
                <w:color w:val="000000"/>
                <w:sz w:val="20"/>
                <w:szCs w:val="20"/>
              </w:rPr>
              <w:t xml:space="preserve">Please attach </w:t>
            </w:r>
            <w:r w:rsidR="000C6302">
              <w:rPr>
                <w:rFonts w:asciiTheme="majorHAnsi" w:eastAsia="Arial" w:hAnsiTheme="majorHAnsi" w:cstheme="majorHAnsi"/>
                <w:b/>
                <w:color w:val="000000"/>
                <w:sz w:val="20"/>
                <w:szCs w:val="20"/>
              </w:rPr>
              <w:t>the</w:t>
            </w:r>
            <w:r w:rsidRPr="000C6302">
              <w:rPr>
                <w:rFonts w:asciiTheme="majorHAnsi" w:eastAsia="Arial" w:hAnsiTheme="majorHAnsi" w:cstheme="majorHAnsi"/>
                <w:b/>
                <w:color w:val="000000"/>
                <w:sz w:val="20"/>
                <w:szCs w:val="20"/>
              </w:rPr>
              <w:t xml:space="preserve"> data collection form to proposal paperwork before final submission for approval</w:t>
            </w:r>
          </w:p>
          <w:p w14:paraId="35FB6BC2" w14:textId="77777777" w:rsidR="00DE5BCE" w:rsidRPr="000C6302" w:rsidRDefault="00DE5BCE"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p>
          <w:p w14:paraId="0961B358" w14:textId="77777777" w:rsidR="00DE5BCE" w:rsidRPr="000C6302" w:rsidRDefault="00E00CED" w:rsidP="000C6302">
            <w:pPr>
              <w:spacing w:after="120" w:line="240" w:lineRule="auto"/>
              <w:contextualSpacing/>
              <w:rPr>
                <w:rFonts w:asciiTheme="majorHAnsi" w:eastAsia="Arial" w:hAnsiTheme="majorHAnsi" w:cstheme="majorHAnsi"/>
                <w:b/>
                <w:sz w:val="20"/>
                <w:szCs w:val="20"/>
              </w:rPr>
            </w:pPr>
            <w:r w:rsidRPr="000C6302">
              <w:rPr>
                <w:rFonts w:asciiTheme="majorHAnsi" w:eastAsia="Arial" w:hAnsiTheme="majorHAnsi" w:cstheme="majorHAnsi"/>
                <w:b/>
                <w:sz w:val="20"/>
                <w:szCs w:val="20"/>
              </w:rPr>
              <w:t xml:space="preserve">Audit Sample: </w:t>
            </w:r>
          </w:p>
          <w:p w14:paraId="0429DD7C" w14:textId="001ADEBC" w:rsidR="00DE5BCE" w:rsidRPr="000C6302" w:rsidRDefault="00E00CED" w:rsidP="000C6302">
            <w:pPr>
              <w:pBdr>
                <w:top w:val="nil"/>
                <w:left w:val="nil"/>
                <w:bottom w:val="nil"/>
                <w:right w:val="nil"/>
                <w:between w:val="nil"/>
              </w:pBdr>
              <w:tabs>
                <w:tab w:val="left" w:pos="720"/>
              </w:tabs>
              <w:spacing w:after="120" w:line="240" w:lineRule="auto"/>
              <w:ind w:left="360" w:hanging="360"/>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 xml:space="preserve">Sample selection criteria: </w:t>
            </w:r>
            <w:r w:rsidR="000C6302">
              <w:rPr>
                <w:rFonts w:asciiTheme="majorHAnsi" w:eastAsia="Arial" w:hAnsiTheme="majorHAnsi" w:cstheme="majorHAnsi"/>
                <w:color w:val="000000"/>
                <w:sz w:val="20"/>
                <w:szCs w:val="20"/>
              </w:rPr>
              <w:t xml:space="preserve">    </w:t>
            </w:r>
            <w:r w:rsidR="00FE2E3A">
              <w:rPr>
                <w:rFonts w:asciiTheme="majorHAnsi" w:eastAsia="Arial" w:hAnsiTheme="majorHAnsi" w:cstheme="majorHAnsi"/>
                <w:sz w:val="20"/>
                <w:szCs w:val="20"/>
              </w:rPr>
              <w:t>All bone and soft-tissue sarcomas</w:t>
            </w:r>
          </w:p>
          <w:p w14:paraId="55229F75" w14:textId="77777777" w:rsidR="00DE5BCE" w:rsidRPr="000C6302" w:rsidRDefault="00DE5BCE" w:rsidP="000C6302">
            <w:pPr>
              <w:pBdr>
                <w:top w:val="nil"/>
                <w:left w:val="nil"/>
                <w:bottom w:val="nil"/>
                <w:right w:val="nil"/>
                <w:between w:val="nil"/>
              </w:pBdr>
              <w:spacing w:after="120" w:line="240" w:lineRule="auto"/>
              <w:contextualSpacing/>
              <w:rPr>
                <w:rFonts w:asciiTheme="majorHAnsi" w:eastAsia="Arial" w:hAnsiTheme="majorHAnsi" w:cstheme="majorHAnsi"/>
                <w:color w:val="000000"/>
                <w:sz w:val="20"/>
                <w:szCs w:val="20"/>
              </w:rPr>
            </w:pPr>
          </w:p>
          <w:p w14:paraId="2C4C3B4C" w14:textId="4A487042" w:rsidR="00DE5BCE" w:rsidRPr="000C6302" w:rsidRDefault="00E00CED" w:rsidP="000C6302">
            <w:pPr>
              <w:pBdr>
                <w:top w:val="nil"/>
                <w:left w:val="nil"/>
                <w:bottom w:val="nil"/>
                <w:right w:val="nil"/>
                <w:between w:val="nil"/>
              </w:pBdr>
              <w:tabs>
                <w:tab w:val="left" w:pos="2160"/>
                <w:tab w:val="left" w:pos="3120"/>
                <w:tab w:val="left" w:pos="4080"/>
              </w:tabs>
              <w:spacing w:after="120" w:line="240" w:lineRule="auto"/>
              <w:ind w:left="360" w:hanging="360"/>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Time period audited:</w:t>
            </w:r>
            <w:r w:rsidRPr="000C6302">
              <w:rPr>
                <w:rFonts w:asciiTheme="majorHAnsi" w:eastAsia="Arial" w:hAnsiTheme="majorHAnsi" w:cstheme="majorHAnsi"/>
                <w:b/>
                <w:color w:val="000000"/>
                <w:sz w:val="20"/>
                <w:szCs w:val="20"/>
              </w:rPr>
              <w:t xml:space="preserve">  </w:t>
            </w:r>
            <w:r w:rsidRPr="000C6302">
              <w:rPr>
                <w:rFonts w:asciiTheme="majorHAnsi" w:eastAsia="Arial" w:hAnsiTheme="majorHAnsi" w:cstheme="majorHAnsi"/>
                <w:color w:val="000000"/>
                <w:sz w:val="20"/>
                <w:szCs w:val="20"/>
              </w:rPr>
              <w:t xml:space="preserve">Start date:  </w:t>
            </w:r>
            <w:proofErr w:type="gramStart"/>
            <w:r w:rsidR="009603FD" w:rsidRPr="000C6302">
              <w:rPr>
                <w:rFonts w:asciiTheme="majorHAnsi" w:eastAsia="Arial" w:hAnsiTheme="majorHAnsi" w:cstheme="majorHAnsi"/>
                <w:sz w:val="20"/>
                <w:szCs w:val="20"/>
              </w:rPr>
              <w:t>3 month</w:t>
            </w:r>
            <w:proofErr w:type="gramEnd"/>
            <w:r w:rsidR="009603FD" w:rsidRPr="000C6302">
              <w:rPr>
                <w:rFonts w:asciiTheme="majorHAnsi" w:eastAsia="Arial" w:hAnsiTheme="majorHAnsi" w:cstheme="majorHAnsi"/>
                <w:sz w:val="20"/>
                <w:szCs w:val="20"/>
              </w:rPr>
              <w:t xml:space="preserve"> period</w:t>
            </w:r>
            <w:r w:rsidR="000C6302">
              <w:rPr>
                <w:rFonts w:asciiTheme="majorHAnsi" w:eastAsia="Arial" w:hAnsiTheme="majorHAnsi" w:cstheme="majorHAnsi"/>
                <w:sz w:val="20"/>
                <w:szCs w:val="20"/>
              </w:rPr>
              <w:t xml:space="preserve"> from </w:t>
            </w:r>
            <w:r w:rsidR="0071336B">
              <w:rPr>
                <w:rFonts w:asciiTheme="majorHAnsi" w:eastAsia="Arial" w:hAnsiTheme="majorHAnsi" w:cstheme="majorHAnsi"/>
                <w:sz w:val="20"/>
                <w:szCs w:val="20"/>
              </w:rPr>
              <w:t>5</w:t>
            </w:r>
            <w:r w:rsidR="0071336B" w:rsidRPr="0071336B">
              <w:rPr>
                <w:rFonts w:asciiTheme="majorHAnsi" w:eastAsia="Arial" w:hAnsiTheme="majorHAnsi" w:cstheme="majorHAnsi"/>
                <w:sz w:val="20"/>
                <w:szCs w:val="20"/>
                <w:vertAlign w:val="superscript"/>
              </w:rPr>
              <w:t>Th</w:t>
            </w:r>
            <w:r w:rsidR="0071336B">
              <w:rPr>
                <w:rFonts w:asciiTheme="majorHAnsi" w:eastAsia="Arial" w:hAnsiTheme="majorHAnsi" w:cstheme="majorHAnsi"/>
                <w:sz w:val="20"/>
                <w:szCs w:val="20"/>
              </w:rPr>
              <w:t xml:space="preserve"> September until </w:t>
            </w:r>
            <w:r w:rsidR="00EF76F4">
              <w:rPr>
                <w:rFonts w:asciiTheme="majorHAnsi" w:eastAsia="Arial" w:hAnsiTheme="majorHAnsi" w:cstheme="majorHAnsi"/>
                <w:sz w:val="20"/>
                <w:szCs w:val="20"/>
              </w:rPr>
              <w:t>27</w:t>
            </w:r>
            <w:r w:rsidR="0071336B" w:rsidRPr="0071336B">
              <w:rPr>
                <w:rFonts w:asciiTheme="majorHAnsi" w:eastAsia="Arial" w:hAnsiTheme="majorHAnsi" w:cstheme="majorHAnsi"/>
                <w:sz w:val="20"/>
                <w:szCs w:val="20"/>
                <w:vertAlign w:val="superscript"/>
              </w:rPr>
              <w:t>Th</w:t>
            </w:r>
            <w:r w:rsidR="0071336B">
              <w:rPr>
                <w:rFonts w:asciiTheme="majorHAnsi" w:eastAsia="Arial" w:hAnsiTheme="majorHAnsi" w:cstheme="majorHAnsi"/>
                <w:sz w:val="20"/>
                <w:szCs w:val="20"/>
              </w:rPr>
              <w:t xml:space="preserve"> November 2022</w:t>
            </w:r>
            <w:r w:rsidR="00EF76F4">
              <w:rPr>
                <w:rFonts w:asciiTheme="majorHAnsi" w:eastAsia="Arial" w:hAnsiTheme="majorHAnsi" w:cstheme="majorHAnsi"/>
                <w:sz w:val="20"/>
                <w:szCs w:val="20"/>
              </w:rPr>
              <w:t xml:space="preserve"> (inclusive)</w:t>
            </w:r>
          </w:p>
          <w:p w14:paraId="038BACC1" w14:textId="2B35B765" w:rsidR="00DE5BCE" w:rsidRPr="000C6302" w:rsidRDefault="00EF76F4" w:rsidP="000C6302">
            <w:pPr>
              <w:pBdr>
                <w:top w:val="nil"/>
                <w:left w:val="nil"/>
                <w:bottom w:val="nil"/>
                <w:right w:val="nil"/>
                <w:between w:val="nil"/>
              </w:pBdr>
              <w:tabs>
                <w:tab w:val="left" w:pos="2160"/>
                <w:tab w:val="left" w:pos="3120"/>
                <w:tab w:val="left" w:pos="4080"/>
              </w:tabs>
              <w:spacing w:after="120" w:line="240" w:lineRule="auto"/>
              <w:ind w:left="360" w:hanging="360"/>
              <w:contextualSpacing/>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t xml:space="preserve"> </w:t>
            </w:r>
          </w:p>
          <w:p w14:paraId="204E45AE" w14:textId="43E1C3B0" w:rsidR="00DE5BCE" w:rsidRPr="000C6302" w:rsidRDefault="00E00CED"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sz w:val="20"/>
                <w:szCs w:val="20"/>
              </w:rPr>
            </w:pPr>
            <w:r w:rsidRPr="000C6302">
              <w:rPr>
                <w:rFonts w:asciiTheme="majorHAnsi" w:eastAsia="Arial" w:hAnsiTheme="majorHAnsi" w:cstheme="majorHAnsi"/>
                <w:color w:val="000000"/>
                <w:sz w:val="20"/>
                <w:szCs w:val="20"/>
              </w:rPr>
              <w:t xml:space="preserve">Number/estimated number of cases to be audited:  </w:t>
            </w:r>
            <w:r w:rsidR="009C0E98" w:rsidRPr="000C6302">
              <w:rPr>
                <w:rFonts w:asciiTheme="majorHAnsi" w:eastAsia="Arial" w:hAnsiTheme="majorHAnsi" w:cstheme="majorHAnsi"/>
                <w:sz w:val="20"/>
                <w:szCs w:val="20"/>
              </w:rPr>
              <w:t>10 cases</w:t>
            </w:r>
            <w:r w:rsidR="008F795E" w:rsidRPr="000C6302">
              <w:rPr>
                <w:rFonts w:asciiTheme="majorHAnsi" w:eastAsia="Arial" w:hAnsiTheme="majorHAnsi" w:cstheme="majorHAnsi"/>
                <w:sz w:val="20"/>
                <w:szCs w:val="20"/>
              </w:rPr>
              <w:t xml:space="preserve"> per unit</w:t>
            </w:r>
            <w:r w:rsidR="00EF76F4">
              <w:rPr>
                <w:rFonts w:asciiTheme="majorHAnsi" w:eastAsia="Arial" w:hAnsiTheme="majorHAnsi" w:cstheme="majorHAnsi"/>
                <w:sz w:val="20"/>
                <w:szCs w:val="20"/>
              </w:rPr>
              <w:t xml:space="preserve"> (estimate)</w:t>
            </w:r>
          </w:p>
          <w:p w14:paraId="75D3D6DC" w14:textId="77777777" w:rsidR="008F795E" w:rsidRPr="000C6302" w:rsidRDefault="008F795E"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sz w:val="20"/>
                <w:szCs w:val="20"/>
              </w:rPr>
            </w:pPr>
          </w:p>
          <w:p w14:paraId="206F08EF" w14:textId="54705A85" w:rsidR="008F795E" w:rsidRPr="000C6302" w:rsidRDefault="008F795E"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u w:val="single"/>
              </w:rPr>
            </w:pPr>
          </w:p>
        </w:tc>
      </w:tr>
      <w:tr w:rsidR="00DE5BCE" w:rsidRPr="000C6302" w14:paraId="16694E69" w14:textId="77777777">
        <w:trPr>
          <w:trHeight w:val="480"/>
        </w:trPr>
        <w:tc>
          <w:tcPr>
            <w:tcW w:w="10068" w:type="dxa"/>
            <w:tcBorders>
              <w:top w:val="single" w:sz="4" w:space="0" w:color="000000"/>
              <w:left w:val="single" w:sz="4" w:space="0" w:color="000000"/>
              <w:bottom w:val="single" w:sz="4" w:space="0" w:color="000000"/>
              <w:right w:val="single" w:sz="4" w:space="0" w:color="000000"/>
            </w:tcBorders>
          </w:tcPr>
          <w:p w14:paraId="1A9BB2A9" w14:textId="5AE6AE08" w:rsidR="00DE5BCE" w:rsidRPr="000C6302" w:rsidRDefault="00E00CED"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b/>
                <w:color w:val="000000"/>
                <w:sz w:val="20"/>
                <w:szCs w:val="20"/>
              </w:rPr>
            </w:pPr>
            <w:r w:rsidRPr="000C6302">
              <w:rPr>
                <w:rFonts w:asciiTheme="majorHAnsi" w:eastAsia="Arial" w:hAnsiTheme="majorHAnsi" w:cstheme="majorHAnsi"/>
                <w:b/>
                <w:color w:val="000000"/>
                <w:sz w:val="20"/>
                <w:szCs w:val="20"/>
              </w:rPr>
              <w:t>Deadlines:</w:t>
            </w:r>
          </w:p>
          <w:p w14:paraId="6221BB0F" w14:textId="77777777" w:rsidR="00DE5BCE" w:rsidRPr="000C6302" w:rsidRDefault="00DE5BCE"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p>
          <w:p w14:paraId="43121B18" w14:textId="0EFAFA6A" w:rsidR="00DE5BCE" w:rsidRPr="000C6302" w:rsidRDefault="00E00CED"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Pr</w:t>
            </w:r>
            <w:r w:rsidR="000C6302">
              <w:rPr>
                <w:rFonts w:asciiTheme="majorHAnsi" w:eastAsia="Arial" w:hAnsiTheme="majorHAnsi" w:cstheme="majorHAnsi"/>
                <w:color w:val="000000"/>
                <w:sz w:val="20"/>
                <w:szCs w:val="20"/>
              </w:rPr>
              <w:t xml:space="preserve">oposed start of data collection – </w:t>
            </w:r>
            <w:r w:rsidR="001D0297">
              <w:rPr>
                <w:rFonts w:asciiTheme="majorHAnsi" w:eastAsia="Arial" w:hAnsiTheme="majorHAnsi" w:cstheme="majorHAnsi"/>
                <w:color w:val="000000"/>
                <w:sz w:val="20"/>
                <w:szCs w:val="20"/>
              </w:rPr>
              <w:t>5</w:t>
            </w:r>
            <w:r w:rsidR="001D0297" w:rsidRPr="001D0297">
              <w:rPr>
                <w:rFonts w:asciiTheme="majorHAnsi" w:eastAsia="Arial" w:hAnsiTheme="majorHAnsi" w:cstheme="majorHAnsi"/>
                <w:color w:val="000000"/>
                <w:sz w:val="20"/>
                <w:szCs w:val="20"/>
                <w:vertAlign w:val="superscript"/>
              </w:rPr>
              <w:t>th</w:t>
            </w:r>
            <w:r w:rsidR="001D0297">
              <w:rPr>
                <w:rFonts w:asciiTheme="majorHAnsi" w:eastAsia="Arial" w:hAnsiTheme="majorHAnsi" w:cstheme="majorHAnsi"/>
                <w:color w:val="000000"/>
                <w:sz w:val="20"/>
                <w:szCs w:val="20"/>
              </w:rPr>
              <w:t xml:space="preserve"> September</w:t>
            </w:r>
            <w:r w:rsidR="000C6302">
              <w:rPr>
                <w:rFonts w:asciiTheme="majorHAnsi" w:eastAsia="Arial" w:hAnsiTheme="majorHAnsi" w:cstheme="majorHAnsi"/>
                <w:color w:val="000000"/>
                <w:sz w:val="20"/>
                <w:szCs w:val="20"/>
              </w:rPr>
              <w:t xml:space="preserve"> 202</w:t>
            </w:r>
            <w:r w:rsidR="001D0297">
              <w:rPr>
                <w:rFonts w:asciiTheme="majorHAnsi" w:eastAsia="Arial" w:hAnsiTheme="majorHAnsi" w:cstheme="majorHAnsi"/>
                <w:color w:val="000000"/>
                <w:sz w:val="20"/>
                <w:szCs w:val="20"/>
              </w:rPr>
              <w:t>2</w:t>
            </w:r>
          </w:p>
          <w:p w14:paraId="0F5B8389" w14:textId="77777777" w:rsidR="00DE5BCE" w:rsidRPr="000C6302" w:rsidRDefault="00DE5BCE"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p>
          <w:p w14:paraId="740144A0" w14:textId="14FD38D2" w:rsidR="009603FD" w:rsidRPr="000C6302" w:rsidRDefault="00E00CED"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Proposed date</w:t>
            </w:r>
            <w:r w:rsidR="000C6302">
              <w:rPr>
                <w:rFonts w:asciiTheme="majorHAnsi" w:eastAsia="Arial" w:hAnsiTheme="majorHAnsi" w:cstheme="majorHAnsi"/>
                <w:color w:val="000000"/>
                <w:sz w:val="20"/>
                <w:szCs w:val="20"/>
              </w:rPr>
              <w:t xml:space="preserve"> for presentation of results:    </w:t>
            </w:r>
            <w:r w:rsidR="001D0297">
              <w:rPr>
                <w:rFonts w:asciiTheme="majorHAnsi" w:eastAsia="Arial" w:hAnsiTheme="majorHAnsi" w:cstheme="majorHAnsi"/>
                <w:color w:val="000000"/>
                <w:sz w:val="20"/>
                <w:szCs w:val="20"/>
              </w:rPr>
              <w:t>British Sarcoma Group meeting, Cardiff, March 2023</w:t>
            </w:r>
          </w:p>
          <w:p w14:paraId="340D6751" w14:textId="77777777" w:rsidR="009603FD" w:rsidRPr="000C6302" w:rsidRDefault="009603FD"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p>
          <w:p w14:paraId="44D1D7F1" w14:textId="7E70DF5D" w:rsidR="00DE5BCE" w:rsidRPr="000C6302" w:rsidRDefault="00E00CED" w:rsidP="0045221E">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r w:rsidRPr="000C6302">
              <w:rPr>
                <w:rFonts w:asciiTheme="majorHAnsi" w:eastAsia="Arial" w:hAnsiTheme="majorHAnsi" w:cstheme="majorHAnsi"/>
                <w:color w:val="000000"/>
                <w:sz w:val="20"/>
                <w:szCs w:val="20"/>
              </w:rPr>
              <w:t xml:space="preserve">Forum: </w:t>
            </w:r>
            <w:r w:rsidR="0045221E">
              <w:rPr>
                <w:rFonts w:asciiTheme="majorHAnsi" w:eastAsia="Arial" w:hAnsiTheme="majorHAnsi" w:cstheme="majorHAnsi"/>
                <w:color w:val="000000"/>
                <w:sz w:val="20"/>
                <w:szCs w:val="20"/>
              </w:rPr>
              <w:t>National/Regional</w:t>
            </w:r>
            <w:r w:rsidRPr="000C6302">
              <w:rPr>
                <w:rFonts w:asciiTheme="majorHAnsi" w:eastAsia="Arial" w:hAnsiTheme="majorHAnsi" w:cstheme="majorHAnsi"/>
                <w:color w:val="000000"/>
                <w:sz w:val="20"/>
                <w:szCs w:val="20"/>
              </w:rPr>
              <w:t xml:space="preserve"> Meeting</w:t>
            </w:r>
            <w:r w:rsidR="0045221E">
              <w:rPr>
                <w:rFonts w:asciiTheme="majorHAnsi" w:eastAsia="Arial" w:hAnsiTheme="majorHAnsi" w:cstheme="majorHAnsi"/>
                <w:color w:val="000000"/>
                <w:sz w:val="20"/>
                <w:szCs w:val="20"/>
              </w:rPr>
              <w:t xml:space="preserve">s, local governance meeting </w:t>
            </w:r>
          </w:p>
          <w:p w14:paraId="415602BB" w14:textId="77777777" w:rsidR="00DE5BCE" w:rsidRPr="000C6302" w:rsidRDefault="00DE5BCE" w:rsidP="000C6302">
            <w:pPr>
              <w:pBdr>
                <w:top w:val="nil"/>
                <w:left w:val="nil"/>
                <w:bottom w:val="nil"/>
                <w:right w:val="nil"/>
                <w:between w:val="nil"/>
              </w:pBdr>
              <w:spacing w:after="120" w:line="240" w:lineRule="auto"/>
              <w:ind w:left="360" w:hanging="360"/>
              <w:contextualSpacing/>
              <w:rPr>
                <w:rFonts w:asciiTheme="majorHAnsi" w:eastAsia="Arial" w:hAnsiTheme="majorHAnsi" w:cstheme="majorHAnsi"/>
                <w:color w:val="000000"/>
                <w:sz w:val="20"/>
                <w:szCs w:val="20"/>
              </w:rPr>
            </w:pPr>
          </w:p>
          <w:p w14:paraId="35BC5DDA" w14:textId="1877EFD0" w:rsidR="00DE5BCE" w:rsidRPr="000C6302" w:rsidRDefault="00DE5BCE" w:rsidP="0045221E">
            <w:pPr>
              <w:pBdr>
                <w:top w:val="nil"/>
                <w:left w:val="nil"/>
                <w:bottom w:val="nil"/>
                <w:right w:val="nil"/>
                <w:between w:val="nil"/>
              </w:pBdr>
              <w:spacing w:after="120" w:line="240" w:lineRule="auto"/>
              <w:contextualSpacing/>
              <w:rPr>
                <w:rFonts w:asciiTheme="majorHAnsi" w:eastAsia="Arial" w:hAnsiTheme="majorHAnsi" w:cstheme="majorHAnsi"/>
                <w:b/>
                <w:color w:val="000000"/>
                <w:sz w:val="20"/>
                <w:szCs w:val="20"/>
              </w:rPr>
            </w:pPr>
          </w:p>
        </w:tc>
      </w:tr>
    </w:tbl>
    <w:p w14:paraId="591B5ACA" w14:textId="77777777" w:rsidR="00DE5BCE" w:rsidRPr="00D647B0" w:rsidRDefault="00DE5BCE">
      <w:pPr>
        <w:spacing w:line="360" w:lineRule="auto"/>
        <w:rPr>
          <w:rFonts w:asciiTheme="majorHAnsi" w:eastAsia="Arial" w:hAnsiTheme="majorHAnsi" w:cstheme="majorHAnsi"/>
          <w:sz w:val="20"/>
          <w:szCs w:val="20"/>
        </w:rPr>
      </w:pPr>
    </w:p>
    <w:sectPr w:rsidR="00DE5BCE" w:rsidRPr="00D647B0">
      <w:type w:val="continuous"/>
      <w:pgSz w:w="11906" w:h="16838"/>
      <w:pgMar w:top="1440" w:right="1440" w:bottom="1440" w:left="1440" w:header="708"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65A32" w14:textId="77777777" w:rsidR="001C433D" w:rsidRDefault="001C433D">
      <w:pPr>
        <w:spacing w:after="0" w:line="240" w:lineRule="auto"/>
      </w:pPr>
      <w:r>
        <w:separator/>
      </w:r>
    </w:p>
  </w:endnote>
  <w:endnote w:type="continuationSeparator" w:id="0">
    <w:p w14:paraId="0E1FE5A8" w14:textId="77777777" w:rsidR="001C433D" w:rsidRDefault="001C4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Frutiger Linotype">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3EC2" w14:textId="77777777" w:rsidR="008F2E19" w:rsidRDefault="008F2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D640" w14:textId="77777777" w:rsidR="008F2E19" w:rsidRDefault="008F2E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7A07" w14:textId="77777777" w:rsidR="008F2E19" w:rsidRDefault="008F2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BB3F3" w14:textId="77777777" w:rsidR="001C433D" w:rsidRDefault="001C433D">
      <w:pPr>
        <w:spacing w:after="0" w:line="240" w:lineRule="auto"/>
      </w:pPr>
      <w:r>
        <w:separator/>
      </w:r>
    </w:p>
  </w:footnote>
  <w:footnote w:type="continuationSeparator" w:id="0">
    <w:p w14:paraId="002ABE22" w14:textId="77777777" w:rsidR="001C433D" w:rsidRDefault="001C4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28BC" w14:textId="77777777" w:rsidR="008F2E19" w:rsidRDefault="008F2E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E0F1" w14:textId="5366512F" w:rsidR="009955F6" w:rsidRDefault="00145DFF" w:rsidP="009955F6">
    <w:pPr>
      <w:spacing w:after="0" w:line="240" w:lineRule="auto"/>
      <w:jc w:val="center"/>
      <w:rPr>
        <w:rFonts w:ascii="Times New Roman" w:eastAsia="Times New Roman" w:hAnsi="Times New Roman" w:cs="Times New Roman"/>
      </w:rPr>
    </w:pPr>
    <w:r>
      <w:rPr>
        <w:noProof/>
      </w:rPr>
      <w:drawing>
        <wp:inline distT="0" distB="0" distL="0" distR="0" wp14:anchorId="17454C4C" wp14:editId="588CB961">
          <wp:extent cx="1842135" cy="989965"/>
          <wp:effectExtent l="0" t="0" r="5715" b="635"/>
          <wp:docPr id="10" name="Picture 9" descr="Logo&#10;&#10;Description automatically generated with medium confidence">
            <a:extLst xmlns:a="http://schemas.openxmlformats.org/drawingml/2006/main">
              <a:ext uri="{FF2B5EF4-FFF2-40B4-BE49-F238E27FC236}">
                <a16:creationId xmlns:a16="http://schemas.microsoft.com/office/drawing/2014/main" id="{CE4E15E3-ACE2-147E-17BD-D1E652A49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Logo&#10;&#10;Description automatically generated with medium confidence">
                    <a:extLst>
                      <a:ext uri="{FF2B5EF4-FFF2-40B4-BE49-F238E27FC236}">
                        <a16:creationId xmlns:a16="http://schemas.microsoft.com/office/drawing/2014/main" id="{CE4E15E3-ACE2-147E-17BD-D1E652A49E24}"/>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2135" cy="989965"/>
                  </a:xfrm>
                  <a:prstGeom prst="rect">
                    <a:avLst/>
                  </a:prstGeom>
                  <a:noFill/>
                </pic:spPr>
              </pic:pic>
            </a:graphicData>
          </a:graphic>
        </wp:inline>
      </w:drawing>
    </w:r>
    <w:r w:rsidR="009955F6">
      <w:rPr>
        <w:noProof/>
      </w:rPr>
      <w:drawing>
        <wp:inline distT="0" distB="0" distL="0" distR="0" wp14:anchorId="208C9811" wp14:editId="287B2558">
          <wp:extent cx="1986673" cy="111755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7366" cy="1146072"/>
                  </a:xfrm>
                  <a:prstGeom prst="rect">
                    <a:avLst/>
                  </a:prstGeom>
                </pic:spPr>
              </pic:pic>
            </a:graphicData>
          </a:graphic>
        </wp:inline>
      </w:drawing>
    </w:r>
    <w:r w:rsidR="001565DB">
      <w:rPr>
        <w:rFonts w:ascii="Times New Roman" w:eastAsia="Times New Roman" w:hAnsi="Times New Roman" w:cs="Times New Roman"/>
        <w:noProof/>
        <w:lang w:eastAsia="en-GB"/>
      </w:rPr>
      <w:drawing>
        <wp:inline distT="0" distB="0" distL="0" distR="0" wp14:anchorId="53B963AE" wp14:editId="0A31FECE">
          <wp:extent cx="1793875" cy="934623"/>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rotWithShape="1">
                  <a:blip r:embed="rId3">
                    <a:extLst>
                      <a:ext uri="{28A0092B-C50C-407E-A947-70E740481C1C}">
                        <a14:useLocalDpi xmlns:a14="http://schemas.microsoft.com/office/drawing/2010/main" val="0"/>
                      </a:ext>
                    </a:extLst>
                  </a:blip>
                  <a:srcRect b="-13794"/>
                  <a:stretch/>
                </pic:blipFill>
                <pic:spPr bwMode="auto">
                  <a:xfrm>
                    <a:off x="0" y="0"/>
                    <a:ext cx="1937422" cy="1009412"/>
                  </a:xfrm>
                  <a:prstGeom prst="rect">
                    <a:avLst/>
                  </a:prstGeom>
                  <a:noFill/>
                  <a:ln>
                    <a:noFill/>
                  </a:ln>
                  <a:extLst>
                    <a:ext uri="{53640926-AAD7-44D8-BBD7-CCE9431645EC}">
                      <a14:shadowObscured xmlns:a14="http://schemas.microsoft.com/office/drawing/2010/main"/>
                    </a:ext>
                  </a:extLst>
                </pic:spPr>
              </pic:pic>
            </a:graphicData>
          </a:graphic>
        </wp:inline>
      </w:drawing>
    </w:r>
  </w:p>
  <w:p w14:paraId="15F7C874" w14:textId="1923F41E" w:rsidR="00DE5BCE" w:rsidRDefault="004D3F20" w:rsidP="004D3F20">
    <w:pPr>
      <w:jc w:val="cente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8AC3" w14:textId="77777777" w:rsidR="008F2E19" w:rsidRDefault="008F2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131FA"/>
    <w:multiLevelType w:val="hybridMultilevel"/>
    <w:tmpl w:val="9FCE46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5974A6"/>
    <w:multiLevelType w:val="hybridMultilevel"/>
    <w:tmpl w:val="B966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2D5F0A"/>
    <w:multiLevelType w:val="multilevel"/>
    <w:tmpl w:val="B2887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406CA2"/>
    <w:multiLevelType w:val="hybridMultilevel"/>
    <w:tmpl w:val="9FCE4684"/>
    <w:lvl w:ilvl="0" w:tplc="5D329E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074D88"/>
    <w:multiLevelType w:val="hybridMultilevel"/>
    <w:tmpl w:val="054ED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B60151"/>
    <w:multiLevelType w:val="hybridMultilevel"/>
    <w:tmpl w:val="204A0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7F1AAD"/>
    <w:multiLevelType w:val="hybridMultilevel"/>
    <w:tmpl w:val="58A41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5518F6"/>
    <w:multiLevelType w:val="hybridMultilevel"/>
    <w:tmpl w:val="910E343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EC15A8"/>
    <w:multiLevelType w:val="hybridMultilevel"/>
    <w:tmpl w:val="40D4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326F0B"/>
    <w:multiLevelType w:val="hybridMultilevel"/>
    <w:tmpl w:val="B492D0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A3D52E5"/>
    <w:multiLevelType w:val="multilevel"/>
    <w:tmpl w:val="C2AA6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C970145"/>
    <w:multiLevelType w:val="multilevel"/>
    <w:tmpl w:val="B00C4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75756957">
    <w:abstractNumId w:val="2"/>
  </w:num>
  <w:num w:numId="2" w16cid:durableId="2066637007">
    <w:abstractNumId w:val="11"/>
  </w:num>
  <w:num w:numId="3" w16cid:durableId="1587301619">
    <w:abstractNumId w:val="10"/>
  </w:num>
  <w:num w:numId="4" w16cid:durableId="1984849406">
    <w:abstractNumId w:val="5"/>
  </w:num>
  <w:num w:numId="5" w16cid:durableId="154339634">
    <w:abstractNumId w:val="6"/>
  </w:num>
  <w:num w:numId="6" w16cid:durableId="283465734">
    <w:abstractNumId w:val="3"/>
  </w:num>
  <w:num w:numId="7" w16cid:durableId="1912424291">
    <w:abstractNumId w:val="0"/>
  </w:num>
  <w:num w:numId="8" w16cid:durableId="35743395">
    <w:abstractNumId w:val="7"/>
  </w:num>
  <w:num w:numId="9" w16cid:durableId="1248151001">
    <w:abstractNumId w:val="9"/>
  </w:num>
  <w:num w:numId="10" w16cid:durableId="1968855066">
    <w:abstractNumId w:val="1"/>
  </w:num>
  <w:num w:numId="11" w16cid:durableId="143864510">
    <w:abstractNumId w:val="8"/>
  </w:num>
  <w:num w:numId="12" w16cid:durableId="1411163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CE"/>
    <w:rsid w:val="00021F8B"/>
    <w:rsid w:val="000445B4"/>
    <w:rsid w:val="00064AE5"/>
    <w:rsid w:val="00066CA8"/>
    <w:rsid w:val="00081236"/>
    <w:rsid w:val="000C6302"/>
    <w:rsid w:val="001452E8"/>
    <w:rsid w:val="00145DFF"/>
    <w:rsid w:val="0014653F"/>
    <w:rsid w:val="001565DB"/>
    <w:rsid w:val="00180B36"/>
    <w:rsid w:val="00182643"/>
    <w:rsid w:val="00187C9A"/>
    <w:rsid w:val="001C433D"/>
    <w:rsid w:val="001D0297"/>
    <w:rsid w:val="002318AC"/>
    <w:rsid w:val="003241B2"/>
    <w:rsid w:val="003A5F93"/>
    <w:rsid w:val="003B4049"/>
    <w:rsid w:val="003E4555"/>
    <w:rsid w:val="003F6E27"/>
    <w:rsid w:val="0043059B"/>
    <w:rsid w:val="00431DFB"/>
    <w:rsid w:val="0045221E"/>
    <w:rsid w:val="00473C5D"/>
    <w:rsid w:val="004955D6"/>
    <w:rsid w:val="004D3F20"/>
    <w:rsid w:val="005011DA"/>
    <w:rsid w:val="00514C8D"/>
    <w:rsid w:val="005303E7"/>
    <w:rsid w:val="00533BEC"/>
    <w:rsid w:val="00562951"/>
    <w:rsid w:val="005708BF"/>
    <w:rsid w:val="005854CB"/>
    <w:rsid w:val="00590C7A"/>
    <w:rsid w:val="006578ED"/>
    <w:rsid w:val="0068367E"/>
    <w:rsid w:val="00706F52"/>
    <w:rsid w:val="0071336B"/>
    <w:rsid w:val="008232BA"/>
    <w:rsid w:val="00827D6F"/>
    <w:rsid w:val="008365E5"/>
    <w:rsid w:val="00845016"/>
    <w:rsid w:val="00862436"/>
    <w:rsid w:val="008B3A22"/>
    <w:rsid w:val="008F2E19"/>
    <w:rsid w:val="008F795E"/>
    <w:rsid w:val="00900948"/>
    <w:rsid w:val="009603FD"/>
    <w:rsid w:val="00966037"/>
    <w:rsid w:val="009801B0"/>
    <w:rsid w:val="00982F03"/>
    <w:rsid w:val="0099350A"/>
    <w:rsid w:val="009955F6"/>
    <w:rsid w:val="009B3C96"/>
    <w:rsid w:val="009C0E98"/>
    <w:rsid w:val="009C4161"/>
    <w:rsid w:val="009F770E"/>
    <w:rsid w:val="00AB54C4"/>
    <w:rsid w:val="00AD0096"/>
    <w:rsid w:val="00B024DF"/>
    <w:rsid w:val="00B37890"/>
    <w:rsid w:val="00B652DF"/>
    <w:rsid w:val="00B7034B"/>
    <w:rsid w:val="00B743F7"/>
    <w:rsid w:val="00B94528"/>
    <w:rsid w:val="00C16DE7"/>
    <w:rsid w:val="00C208C8"/>
    <w:rsid w:val="00C9086C"/>
    <w:rsid w:val="00C9697E"/>
    <w:rsid w:val="00C97F92"/>
    <w:rsid w:val="00CB6697"/>
    <w:rsid w:val="00CC3DE4"/>
    <w:rsid w:val="00D074FC"/>
    <w:rsid w:val="00D30484"/>
    <w:rsid w:val="00D647B0"/>
    <w:rsid w:val="00DB4C61"/>
    <w:rsid w:val="00DD1B55"/>
    <w:rsid w:val="00DE5BCE"/>
    <w:rsid w:val="00DE6B17"/>
    <w:rsid w:val="00E00CED"/>
    <w:rsid w:val="00E63781"/>
    <w:rsid w:val="00E6651A"/>
    <w:rsid w:val="00E776FF"/>
    <w:rsid w:val="00EB1450"/>
    <w:rsid w:val="00EB54E8"/>
    <w:rsid w:val="00EC46AB"/>
    <w:rsid w:val="00ED7A99"/>
    <w:rsid w:val="00EF76F4"/>
    <w:rsid w:val="00F45F44"/>
    <w:rsid w:val="00F7449D"/>
    <w:rsid w:val="00FA51EE"/>
    <w:rsid w:val="00FB5942"/>
    <w:rsid w:val="00FE2E3A"/>
    <w:rsid w:val="00FF1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5FDBB"/>
  <w15:docId w15:val="{BC8C1FAB-F763-4FDE-A1B1-34FC9F57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spacing w:after="0" w:line="240" w:lineRule="auto"/>
      <w:jc w:val="center"/>
      <w:outlineLvl w:val="5"/>
    </w:pPr>
    <w:rPr>
      <w:rFonts w:ascii="Frutiger Linotype" w:eastAsia="Frutiger Linotype" w:hAnsi="Frutiger Linotype" w:cs="Frutiger Linotype"/>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E4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555"/>
  </w:style>
  <w:style w:type="paragraph" w:styleId="Footer">
    <w:name w:val="footer"/>
    <w:basedOn w:val="Normal"/>
    <w:link w:val="FooterChar"/>
    <w:uiPriority w:val="99"/>
    <w:unhideWhenUsed/>
    <w:rsid w:val="003E4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555"/>
  </w:style>
  <w:style w:type="character" w:styleId="Hyperlink">
    <w:name w:val="Hyperlink"/>
    <w:basedOn w:val="DefaultParagraphFont"/>
    <w:uiPriority w:val="99"/>
    <w:unhideWhenUsed/>
    <w:rsid w:val="00533BEC"/>
    <w:rPr>
      <w:color w:val="0000FF" w:themeColor="hyperlink"/>
      <w:u w:val="single"/>
    </w:rPr>
  </w:style>
  <w:style w:type="character" w:customStyle="1" w:styleId="UnresolvedMention1">
    <w:name w:val="Unresolved Mention1"/>
    <w:basedOn w:val="DefaultParagraphFont"/>
    <w:uiPriority w:val="99"/>
    <w:semiHidden/>
    <w:unhideWhenUsed/>
    <w:rsid w:val="00533BEC"/>
    <w:rPr>
      <w:color w:val="605E5C"/>
      <w:shd w:val="clear" w:color="auto" w:fill="E1DFDD"/>
    </w:rPr>
  </w:style>
  <w:style w:type="paragraph" w:styleId="BalloonText">
    <w:name w:val="Balloon Text"/>
    <w:basedOn w:val="Normal"/>
    <w:link w:val="BalloonTextChar"/>
    <w:uiPriority w:val="99"/>
    <w:semiHidden/>
    <w:unhideWhenUsed/>
    <w:rsid w:val="00982F0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2F0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D1B55"/>
    <w:rPr>
      <w:sz w:val="16"/>
      <w:szCs w:val="16"/>
    </w:rPr>
  </w:style>
  <w:style w:type="paragraph" w:styleId="CommentText">
    <w:name w:val="annotation text"/>
    <w:basedOn w:val="Normal"/>
    <w:link w:val="CommentTextChar"/>
    <w:uiPriority w:val="99"/>
    <w:semiHidden/>
    <w:unhideWhenUsed/>
    <w:rsid w:val="00DD1B55"/>
    <w:pPr>
      <w:spacing w:line="240" w:lineRule="auto"/>
    </w:pPr>
    <w:rPr>
      <w:sz w:val="20"/>
      <w:szCs w:val="20"/>
    </w:rPr>
  </w:style>
  <w:style w:type="character" w:customStyle="1" w:styleId="CommentTextChar">
    <w:name w:val="Comment Text Char"/>
    <w:basedOn w:val="DefaultParagraphFont"/>
    <w:link w:val="CommentText"/>
    <w:uiPriority w:val="99"/>
    <w:semiHidden/>
    <w:rsid w:val="00DD1B55"/>
    <w:rPr>
      <w:sz w:val="20"/>
      <w:szCs w:val="20"/>
    </w:rPr>
  </w:style>
  <w:style w:type="paragraph" w:styleId="CommentSubject">
    <w:name w:val="annotation subject"/>
    <w:basedOn w:val="CommentText"/>
    <w:next w:val="CommentText"/>
    <w:link w:val="CommentSubjectChar"/>
    <w:uiPriority w:val="99"/>
    <w:semiHidden/>
    <w:unhideWhenUsed/>
    <w:rsid w:val="00DD1B55"/>
    <w:rPr>
      <w:b/>
      <w:bCs/>
    </w:rPr>
  </w:style>
  <w:style w:type="character" w:customStyle="1" w:styleId="CommentSubjectChar">
    <w:name w:val="Comment Subject Char"/>
    <w:basedOn w:val="CommentTextChar"/>
    <w:link w:val="CommentSubject"/>
    <w:uiPriority w:val="99"/>
    <w:semiHidden/>
    <w:rsid w:val="00DD1B55"/>
    <w:rPr>
      <w:b/>
      <w:bCs/>
      <w:sz w:val="20"/>
      <w:szCs w:val="20"/>
    </w:rPr>
  </w:style>
  <w:style w:type="character" w:styleId="FollowedHyperlink">
    <w:name w:val="FollowedHyperlink"/>
    <w:basedOn w:val="DefaultParagraphFont"/>
    <w:uiPriority w:val="99"/>
    <w:semiHidden/>
    <w:unhideWhenUsed/>
    <w:rsid w:val="00C97F92"/>
    <w:rPr>
      <w:color w:val="800080" w:themeColor="followedHyperlink"/>
      <w:u w:val="single"/>
    </w:rPr>
  </w:style>
  <w:style w:type="paragraph" w:styleId="ListParagraph">
    <w:name w:val="List Paragraph"/>
    <w:basedOn w:val="Normal"/>
    <w:uiPriority w:val="34"/>
    <w:qFormat/>
    <w:rsid w:val="00706F52"/>
    <w:pPr>
      <w:ind w:left="720"/>
      <w:contextualSpacing/>
    </w:pPr>
  </w:style>
  <w:style w:type="character" w:styleId="UnresolvedMention">
    <w:name w:val="Unresolved Mention"/>
    <w:basedOn w:val="DefaultParagraphFont"/>
    <w:uiPriority w:val="99"/>
    <w:semiHidden/>
    <w:unhideWhenUsed/>
    <w:rsid w:val="00995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650">
      <w:bodyDiv w:val="1"/>
      <w:marLeft w:val="0"/>
      <w:marRight w:val="0"/>
      <w:marTop w:val="0"/>
      <w:marBottom w:val="0"/>
      <w:divBdr>
        <w:top w:val="none" w:sz="0" w:space="0" w:color="auto"/>
        <w:left w:val="none" w:sz="0" w:space="0" w:color="auto"/>
        <w:bottom w:val="none" w:sz="0" w:space="0" w:color="auto"/>
        <w:right w:val="none" w:sz="0" w:space="0" w:color="auto"/>
      </w:divBdr>
    </w:div>
    <w:div w:id="293290722">
      <w:bodyDiv w:val="1"/>
      <w:marLeft w:val="0"/>
      <w:marRight w:val="0"/>
      <w:marTop w:val="0"/>
      <w:marBottom w:val="0"/>
      <w:divBdr>
        <w:top w:val="none" w:sz="0" w:space="0" w:color="auto"/>
        <w:left w:val="none" w:sz="0" w:space="0" w:color="auto"/>
        <w:bottom w:val="none" w:sz="0" w:space="0" w:color="auto"/>
        <w:right w:val="none" w:sz="0" w:space="0" w:color="auto"/>
      </w:divBdr>
    </w:div>
    <w:div w:id="317806118">
      <w:bodyDiv w:val="1"/>
      <w:marLeft w:val="0"/>
      <w:marRight w:val="0"/>
      <w:marTop w:val="0"/>
      <w:marBottom w:val="0"/>
      <w:divBdr>
        <w:top w:val="none" w:sz="0" w:space="0" w:color="auto"/>
        <w:left w:val="none" w:sz="0" w:space="0" w:color="auto"/>
        <w:bottom w:val="none" w:sz="0" w:space="0" w:color="auto"/>
        <w:right w:val="none" w:sz="0" w:space="0" w:color="auto"/>
      </w:divBdr>
    </w:div>
    <w:div w:id="608124764">
      <w:bodyDiv w:val="1"/>
      <w:marLeft w:val="0"/>
      <w:marRight w:val="0"/>
      <w:marTop w:val="0"/>
      <w:marBottom w:val="0"/>
      <w:divBdr>
        <w:top w:val="none" w:sz="0" w:space="0" w:color="auto"/>
        <w:left w:val="none" w:sz="0" w:space="0" w:color="auto"/>
        <w:bottom w:val="none" w:sz="0" w:space="0" w:color="auto"/>
        <w:right w:val="none" w:sz="0" w:space="0" w:color="auto"/>
      </w:divBdr>
      <w:divsChild>
        <w:div w:id="605961458">
          <w:marLeft w:val="0"/>
          <w:marRight w:val="0"/>
          <w:marTop w:val="0"/>
          <w:marBottom w:val="0"/>
          <w:divBdr>
            <w:top w:val="none" w:sz="0" w:space="0" w:color="auto"/>
            <w:left w:val="none" w:sz="0" w:space="0" w:color="auto"/>
            <w:bottom w:val="none" w:sz="0" w:space="0" w:color="auto"/>
            <w:right w:val="none" w:sz="0" w:space="0" w:color="auto"/>
          </w:divBdr>
        </w:div>
        <w:div w:id="1278295295">
          <w:marLeft w:val="0"/>
          <w:marRight w:val="0"/>
          <w:marTop w:val="0"/>
          <w:marBottom w:val="0"/>
          <w:divBdr>
            <w:top w:val="none" w:sz="0" w:space="0" w:color="auto"/>
            <w:left w:val="none" w:sz="0" w:space="0" w:color="auto"/>
            <w:bottom w:val="none" w:sz="0" w:space="0" w:color="auto"/>
            <w:right w:val="none" w:sz="0" w:space="0" w:color="auto"/>
          </w:divBdr>
          <w:divsChild>
            <w:div w:id="437410491">
              <w:marLeft w:val="0"/>
              <w:marRight w:val="0"/>
              <w:marTop w:val="0"/>
              <w:marBottom w:val="0"/>
              <w:divBdr>
                <w:top w:val="none" w:sz="0" w:space="0" w:color="auto"/>
                <w:left w:val="none" w:sz="0" w:space="0" w:color="auto"/>
                <w:bottom w:val="none" w:sz="0" w:space="0" w:color="auto"/>
                <w:right w:val="none" w:sz="0" w:space="0" w:color="auto"/>
              </w:divBdr>
              <w:divsChild>
                <w:div w:id="18064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8648">
          <w:marLeft w:val="0"/>
          <w:marRight w:val="0"/>
          <w:marTop w:val="0"/>
          <w:marBottom w:val="0"/>
          <w:divBdr>
            <w:top w:val="none" w:sz="0" w:space="0" w:color="auto"/>
            <w:left w:val="none" w:sz="0" w:space="0" w:color="auto"/>
            <w:bottom w:val="none" w:sz="0" w:space="0" w:color="auto"/>
            <w:right w:val="none" w:sz="0" w:space="0" w:color="auto"/>
          </w:divBdr>
          <w:divsChild>
            <w:div w:id="2295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49713">
      <w:bodyDiv w:val="1"/>
      <w:marLeft w:val="0"/>
      <w:marRight w:val="0"/>
      <w:marTop w:val="0"/>
      <w:marBottom w:val="0"/>
      <w:divBdr>
        <w:top w:val="none" w:sz="0" w:space="0" w:color="auto"/>
        <w:left w:val="none" w:sz="0" w:space="0" w:color="auto"/>
        <w:bottom w:val="none" w:sz="0" w:space="0" w:color="auto"/>
        <w:right w:val="none" w:sz="0" w:space="0" w:color="auto"/>
      </w:divBdr>
    </w:div>
    <w:div w:id="949625522">
      <w:bodyDiv w:val="1"/>
      <w:marLeft w:val="0"/>
      <w:marRight w:val="0"/>
      <w:marTop w:val="0"/>
      <w:marBottom w:val="0"/>
      <w:divBdr>
        <w:top w:val="none" w:sz="0" w:space="0" w:color="auto"/>
        <w:left w:val="none" w:sz="0" w:space="0" w:color="auto"/>
        <w:bottom w:val="none" w:sz="0" w:space="0" w:color="auto"/>
        <w:right w:val="none" w:sz="0" w:space="0" w:color="auto"/>
      </w:divBdr>
    </w:div>
    <w:div w:id="1769694317">
      <w:bodyDiv w:val="1"/>
      <w:marLeft w:val="0"/>
      <w:marRight w:val="0"/>
      <w:marTop w:val="0"/>
      <w:marBottom w:val="0"/>
      <w:divBdr>
        <w:top w:val="none" w:sz="0" w:space="0" w:color="auto"/>
        <w:left w:val="none" w:sz="0" w:space="0" w:color="auto"/>
        <w:bottom w:val="none" w:sz="0" w:space="0" w:color="auto"/>
        <w:right w:val="none" w:sz="0" w:space="0" w:color="auto"/>
      </w:divBdr>
      <w:divsChild>
        <w:div w:id="882599809">
          <w:marLeft w:val="0"/>
          <w:marRight w:val="0"/>
          <w:marTop w:val="0"/>
          <w:marBottom w:val="0"/>
          <w:divBdr>
            <w:top w:val="none" w:sz="0" w:space="0" w:color="auto"/>
            <w:left w:val="none" w:sz="0" w:space="0" w:color="auto"/>
            <w:bottom w:val="none" w:sz="0" w:space="0" w:color="auto"/>
            <w:right w:val="none" w:sz="0" w:space="0" w:color="auto"/>
          </w:divBdr>
          <w:divsChild>
            <w:div w:id="1041981428">
              <w:marLeft w:val="0"/>
              <w:marRight w:val="0"/>
              <w:marTop w:val="0"/>
              <w:marBottom w:val="0"/>
              <w:divBdr>
                <w:top w:val="none" w:sz="0" w:space="0" w:color="auto"/>
                <w:left w:val="none" w:sz="0" w:space="0" w:color="auto"/>
                <w:bottom w:val="none" w:sz="0" w:space="0" w:color="auto"/>
                <w:right w:val="none" w:sz="0" w:space="0" w:color="auto"/>
              </w:divBdr>
              <w:divsChild>
                <w:div w:id="4129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9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ice.org.uk/guidance/ng12" TargetMode="External"/><Relationship Id="rId18" Type="http://schemas.openxmlformats.org/officeDocument/2006/relationships/header" Target="header2.xml"/><Relationship Id="rId26" Type="http://schemas.openxmlformats.org/officeDocument/2006/relationships/hyperlink" Target="http://www.cancerreferral.scot.nhs.uk/sarcomas-and-bone-cancers/?alttemplate=guideline"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cancerreferral.scot.nhs.uk/sarcomas-and-bone-cancers/?alttemplate=guideline" TargetMode="External"/><Relationship Id="rId17" Type="http://schemas.openxmlformats.org/officeDocument/2006/relationships/header" Target="header1.xml"/><Relationship Id="rId25" Type="http://schemas.openxmlformats.org/officeDocument/2006/relationships/hyperlink" Target="https://clinicalsarcomaresearch.biomedcentral.com/track/pdf/10.1186/s13569-016-0047-1.pdf" TargetMode="External"/><Relationship Id="rId2" Type="http://schemas.openxmlformats.org/officeDocument/2006/relationships/customXml" Target="../customXml/item2.xml"/><Relationship Id="rId16" Type="http://schemas.openxmlformats.org/officeDocument/2006/relationships/hyperlink" Target="http://www.cancerreferral.scot.nhs.uk/sarcomas-and-bone-cancers/?alttemplate=guidelin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inicalsarcomaresearch.biomedcentral.com/track/pdf/10.1186/s13569-016-0047-1.pdf" TargetMode="External"/><Relationship Id="rId24" Type="http://schemas.openxmlformats.org/officeDocument/2006/relationships/hyperlink" Target="https://sarcoma.org.uk/sites/default/files/uk_guidelines_for_the_management_0.pdf" TargetMode="External"/><Relationship Id="rId5" Type="http://schemas.openxmlformats.org/officeDocument/2006/relationships/settings" Target="settings.xml"/><Relationship Id="rId15" Type="http://schemas.openxmlformats.org/officeDocument/2006/relationships/hyperlink" Target="https://clinicalsarcomaresearch.biomedcentral.com/track/pdf/10.1186/s13569-016-0047-1.pdf" TargetMode="External"/><Relationship Id="rId23" Type="http://schemas.openxmlformats.org/officeDocument/2006/relationships/hyperlink" Target="https://www.nice.org.uk/guidance/ng12" TargetMode="External"/><Relationship Id="rId28" Type="http://schemas.openxmlformats.org/officeDocument/2006/relationships/theme" Target="theme/theme1.xml"/><Relationship Id="rId10" Type="http://schemas.openxmlformats.org/officeDocument/2006/relationships/hyperlink" Target="https://sarcoma.org.uk/sites/default/files/uk_guidelines_for_the_management_0.pdf"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nice.org.uk/guidance/ng12" TargetMode="External"/><Relationship Id="rId14" Type="http://schemas.openxmlformats.org/officeDocument/2006/relationships/hyperlink" Target="https://sarcoma.org.uk/sites/default/files/uk_guidelines_for_the_management_0.pdf" TargetMode="External"/><Relationship Id="rId22" Type="http://schemas.openxmlformats.org/officeDocument/2006/relationships/footer" Target="footer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nPqoNCyUAWdqensd+eKuY84i7Yw==">AMUW2mXk52KZTsRIWyxlM+d9+ccO66ONdJRDXXWCGCnWEGxGDLKupsyrC1dE26DonO8mwjEYT0j5ltM0vleQUdIUkQjbGTUdhSjTxV/NoLkjyA63EZiRcX2BaCWtq+kPuF2mFFPC+U9huyP88BsQQqKroy5am9iuTC+I53xvlNL506e8Msr3pXQ=</go:docsCustomData>
</go:gDocsCustomXmlDataStorage>
</file>

<file path=customXml/itemProps1.xml><?xml version="1.0" encoding="utf-8"?>
<ds:datastoreItem xmlns:ds="http://schemas.openxmlformats.org/officeDocument/2006/customXml" ds:itemID="{6080B0DE-72F0-204B-AA07-1B7C587C0BD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1360</Words>
  <Characters>7757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Birmingham Womens and Childrens Hospital NHS FT</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Archer James (RQ3) BCH</dc:creator>
  <cp:keywords/>
  <dc:description/>
  <cp:lastModifiedBy>Sophie H</cp:lastModifiedBy>
  <cp:revision>2</cp:revision>
  <dcterms:created xsi:type="dcterms:W3CDTF">2022-08-14T14:39:00Z</dcterms:created>
  <dcterms:modified xsi:type="dcterms:W3CDTF">2022-08-14T14:39:00Z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http://www.zotero.org/styles/annals-of-surgery</vt:lpwstr>
  </property>
  <property fmtid="{D5CDD505-2E9C-101B-9397-08002B2CF9AE}" pid="7" name="Mendeley Recent Style Name 2_1">
    <vt:lpwstr>Annals of Surgery</vt:lpwstr>
  </property>
  <property fmtid="{D5CDD505-2E9C-101B-9397-08002B2CF9AE}" pid="8" name="Mendeley Recent Style Id 3_1">
    <vt:lpwstr>http://www.zotero.org/styles/bmj</vt:lpwstr>
  </property>
  <property fmtid="{D5CDD505-2E9C-101B-9397-08002B2CF9AE}" pid="9" name="Mendeley Recent Style Name 3_1">
    <vt:lpwstr>BMJ</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http://www.zotero.org/styles/clinical-orthopaedics-and-related-research</vt:lpwstr>
  </property>
  <property fmtid="{D5CDD505-2E9C-101B-9397-08002B2CF9AE}" pid="13" name="Mendeley Recent Style Name 5_1">
    <vt:lpwstr>Clinical Orthopaedics and Related Research</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http://www.zotero.org/styles/the-bone-and-joint-journal</vt:lpwstr>
  </property>
  <property fmtid="{D5CDD505-2E9C-101B-9397-08002B2CF9AE}" pid="17" name="Mendeley Recent Style Name 7_1">
    <vt:lpwstr>The Bone &amp; Joint Journal</vt:lpwstr>
  </property>
  <property fmtid="{D5CDD505-2E9C-101B-9397-08002B2CF9AE}" pid="18" name="Mendeley Recent Style Id 8_1">
    <vt:lpwstr>http://www.zotero.org/styles/the-lancet-oncology</vt:lpwstr>
  </property>
  <property fmtid="{D5CDD505-2E9C-101B-9397-08002B2CF9AE}" pid="19" name="Mendeley Recent Style Name 8_1">
    <vt:lpwstr>The Lancet Oncology</vt:lpwstr>
  </property>
  <property fmtid="{D5CDD505-2E9C-101B-9397-08002B2CF9AE}" pid="20" name="Mendeley Recent Style Id 9_1">
    <vt:lpwstr>http://www.zotero.org/styles/world-journal-of-surgical-oncology</vt:lpwstr>
  </property>
  <property fmtid="{D5CDD505-2E9C-101B-9397-08002B2CF9AE}" pid="21" name="Mendeley Recent Style Name 9_1">
    <vt:lpwstr>World Journal of Surgical Oncology</vt:lpwstr>
  </property>
  <property fmtid="{D5CDD505-2E9C-101B-9397-08002B2CF9AE}" pid="22" name="Mendeley Document_1">
    <vt:lpwstr>True</vt:lpwstr>
  </property>
  <property fmtid="{D5CDD505-2E9C-101B-9397-08002B2CF9AE}" pid="23" name="Mendeley Unique User Id_1">
    <vt:lpwstr>7649c155-e898-331c-9134-5838e8e31a4a</vt:lpwstr>
  </property>
  <property fmtid="{D5CDD505-2E9C-101B-9397-08002B2CF9AE}" pid="24" name="Mendeley Citation Style_1">
    <vt:lpwstr>http://www.zotero.org/styles/the-bone-and-joint-journal</vt:lpwstr>
  </property>
</Properties>
</file>